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846" w:rsidRPr="005F4846" w:rsidRDefault="005F4846" w:rsidP="005F4846">
      <w:pPr>
        <w:spacing w:before="78" w:line="480" w:lineRule="auto"/>
        <w:ind w:right="3"/>
        <w:rPr>
          <w:rFonts w:ascii="Century Gothic" w:hAnsi="Century Gothic"/>
          <w:b/>
          <w:sz w:val="36"/>
          <w:szCs w:val="36"/>
        </w:rPr>
      </w:pPr>
      <w:r w:rsidRPr="005F4846">
        <w:rPr>
          <w:rFonts w:ascii="Century Gothic" w:hAnsi="Century Gothic"/>
          <w:b/>
          <w:sz w:val="36"/>
          <w:szCs w:val="36"/>
        </w:rPr>
        <w:t>BAB 5</w:t>
      </w:r>
    </w:p>
    <w:p w:rsidR="005F4846" w:rsidRPr="005F4846" w:rsidRDefault="005F4846" w:rsidP="005F4846">
      <w:pPr>
        <w:spacing w:before="78" w:line="480" w:lineRule="auto"/>
        <w:ind w:right="3"/>
        <w:rPr>
          <w:rFonts w:ascii="Century Gothic" w:hAnsi="Century Gothic"/>
          <w:b/>
          <w:sz w:val="48"/>
          <w:szCs w:val="48"/>
          <w:lang w:val="id-ID"/>
        </w:rPr>
      </w:pPr>
      <w:r w:rsidRPr="005F4846">
        <w:rPr>
          <w:rFonts w:ascii="Century Gothic" w:hAnsi="Century Gothic"/>
          <w:b/>
          <w:sz w:val="48"/>
          <w:szCs w:val="48"/>
          <w:lang w:val="id-ID"/>
        </w:rPr>
        <w:t>Kesimpulan dan Saran</w:t>
      </w:r>
    </w:p>
    <w:p w:rsidR="005F4846" w:rsidRDefault="005F4846" w:rsidP="005F4846">
      <w:pPr>
        <w:spacing w:before="78" w:line="480" w:lineRule="auto"/>
        <w:ind w:right="3"/>
        <w:jc w:val="both"/>
        <w:rPr>
          <w:b/>
          <w:sz w:val="28"/>
          <w:szCs w:val="28"/>
          <w:lang w:val="id-ID"/>
        </w:rPr>
      </w:pPr>
      <w:r w:rsidRPr="005F4846">
        <w:rPr>
          <w:b/>
          <w:sz w:val="28"/>
          <w:szCs w:val="28"/>
          <w:lang w:val="id-ID"/>
        </w:rPr>
        <w:t>5.1 Kesimpulan</w:t>
      </w:r>
    </w:p>
    <w:p w:rsidR="005F4846" w:rsidRDefault="005F4846" w:rsidP="005F4846">
      <w:pPr>
        <w:pStyle w:val="BodyText"/>
        <w:spacing w:line="480" w:lineRule="auto"/>
        <w:jc w:val="both"/>
      </w:pPr>
      <w:r>
        <w:rPr>
          <w:b/>
          <w:lang w:val="id-ID"/>
        </w:rPr>
        <w:tab/>
      </w:r>
      <w:r w:rsidRPr="005F4846">
        <w:rPr>
          <w:lang w:val="id-ID"/>
        </w:rPr>
        <w:t xml:space="preserve">Berdasarkan </w:t>
      </w:r>
      <w:r>
        <w:rPr>
          <w:lang w:val="id-ID"/>
        </w:rPr>
        <w:t xml:space="preserve"> pembahasan pada Bab 4, maka kesimpulan yang dapat diambil  dari </w:t>
      </w:r>
      <w:r>
        <w:t>empat rumusan masalah dalam tesis</w:t>
      </w:r>
      <w:r>
        <w:rPr>
          <w:spacing w:val="-6"/>
        </w:rPr>
        <w:t xml:space="preserve"> </w:t>
      </w:r>
      <w:r>
        <w:t>ini:</w:t>
      </w:r>
    </w:p>
    <w:p w:rsidR="005F4846" w:rsidRDefault="005F4846" w:rsidP="005F4846">
      <w:pPr>
        <w:pStyle w:val="ListParagraph"/>
        <w:numPr>
          <w:ilvl w:val="0"/>
          <w:numId w:val="3"/>
        </w:numPr>
        <w:tabs>
          <w:tab w:val="left" w:pos="940"/>
          <w:tab w:val="left" w:pos="941"/>
        </w:tabs>
        <w:spacing w:before="9" w:line="480" w:lineRule="auto"/>
        <w:ind w:left="0" w:firstLine="0"/>
        <w:jc w:val="both"/>
      </w:pPr>
      <w:r>
        <w:rPr>
          <w:sz w:val="24"/>
          <w:szCs w:val="24"/>
        </w:rPr>
        <w:t xml:space="preserve">Apa dampak ratifikasi </w:t>
      </w:r>
      <w:r w:rsidRPr="006978E9">
        <w:rPr>
          <w:sz w:val="24"/>
          <w:lang w:val="id-ID"/>
        </w:rPr>
        <w:t>Persetujuan Paris</w:t>
      </w:r>
      <w:r>
        <w:rPr>
          <w:sz w:val="24"/>
          <w:szCs w:val="24"/>
        </w:rPr>
        <w:t xml:space="preserve"> untuk</w:t>
      </w:r>
      <w:r w:rsidRPr="006978E9">
        <w:rPr>
          <w:spacing w:val="1"/>
          <w:sz w:val="24"/>
          <w:szCs w:val="24"/>
        </w:rPr>
        <w:t xml:space="preserve"> </w:t>
      </w:r>
      <w:r>
        <w:rPr>
          <w:sz w:val="24"/>
          <w:szCs w:val="24"/>
        </w:rPr>
        <w:t>Indonesia?</w:t>
      </w:r>
    </w:p>
    <w:p w:rsidR="005F4846" w:rsidRDefault="005F4846" w:rsidP="005F4846">
      <w:pPr>
        <w:pStyle w:val="ListParagraph"/>
        <w:numPr>
          <w:ilvl w:val="0"/>
          <w:numId w:val="3"/>
        </w:numPr>
        <w:tabs>
          <w:tab w:val="left" w:pos="940"/>
          <w:tab w:val="left" w:pos="941"/>
        </w:tabs>
        <w:spacing w:before="1" w:line="480" w:lineRule="auto"/>
        <w:ind w:left="0" w:firstLine="0"/>
        <w:jc w:val="both"/>
        <w:rPr>
          <w:sz w:val="24"/>
          <w:szCs w:val="24"/>
        </w:rPr>
      </w:pPr>
      <w:r>
        <w:rPr>
          <w:sz w:val="24"/>
          <w:szCs w:val="24"/>
        </w:rPr>
        <w:t xml:space="preserve">Bagaimana </w:t>
      </w:r>
      <w:r>
        <w:rPr>
          <w:sz w:val="24"/>
          <w:szCs w:val="24"/>
          <w:lang w:val="id-ID"/>
        </w:rPr>
        <w:t xml:space="preserve">penerapan </w:t>
      </w:r>
      <w:r>
        <w:rPr>
          <w:sz w:val="24"/>
          <w:lang w:val="id-ID"/>
        </w:rPr>
        <w:t>Persetujuan Paris</w:t>
      </w:r>
      <w:r>
        <w:rPr>
          <w:sz w:val="24"/>
          <w:szCs w:val="24"/>
          <w:lang w:val="id-ID"/>
        </w:rPr>
        <w:t xml:space="preserve"> di Indonesia? </w:t>
      </w:r>
    </w:p>
    <w:p w:rsidR="005F4846" w:rsidRDefault="005F4846" w:rsidP="005F4846">
      <w:pPr>
        <w:pStyle w:val="ListParagraph"/>
        <w:numPr>
          <w:ilvl w:val="0"/>
          <w:numId w:val="3"/>
        </w:numPr>
        <w:tabs>
          <w:tab w:val="left" w:pos="940"/>
          <w:tab w:val="left" w:pos="941"/>
        </w:tabs>
        <w:spacing w:before="1" w:line="480" w:lineRule="auto"/>
        <w:ind w:left="0" w:firstLine="0"/>
        <w:jc w:val="both"/>
        <w:rPr>
          <w:sz w:val="24"/>
          <w:szCs w:val="24"/>
        </w:rPr>
      </w:pPr>
      <w:r>
        <w:rPr>
          <w:sz w:val="24"/>
          <w:szCs w:val="24"/>
          <w:lang w:val="id-ID"/>
        </w:rPr>
        <w:t xml:space="preserve">Apa hambatan dan solusi untuk mencapai target dalam </w:t>
      </w:r>
      <w:r>
        <w:rPr>
          <w:sz w:val="24"/>
          <w:lang w:val="id-ID"/>
        </w:rPr>
        <w:t>Persetujuan Paris</w:t>
      </w:r>
      <w:r>
        <w:rPr>
          <w:sz w:val="24"/>
          <w:szCs w:val="24"/>
          <w:lang w:val="id-ID"/>
        </w:rPr>
        <w:t xml:space="preserve">? </w:t>
      </w:r>
    </w:p>
    <w:p w:rsidR="005F4846" w:rsidRDefault="005F4846" w:rsidP="005F4846">
      <w:pPr>
        <w:pStyle w:val="ListParagraph"/>
        <w:numPr>
          <w:ilvl w:val="0"/>
          <w:numId w:val="3"/>
        </w:numPr>
        <w:tabs>
          <w:tab w:val="left" w:pos="940"/>
          <w:tab w:val="left" w:pos="941"/>
        </w:tabs>
        <w:spacing w:line="480" w:lineRule="auto"/>
        <w:ind w:left="0" w:firstLine="0"/>
        <w:jc w:val="both"/>
        <w:rPr>
          <w:sz w:val="24"/>
          <w:szCs w:val="24"/>
        </w:rPr>
      </w:pPr>
      <w:r>
        <w:rPr>
          <w:sz w:val="24"/>
          <w:szCs w:val="24"/>
        </w:rPr>
        <w:t xml:space="preserve">Bagaimana </w:t>
      </w:r>
      <w:r>
        <w:rPr>
          <w:sz w:val="24"/>
          <w:szCs w:val="24"/>
          <w:lang w:val="id-ID"/>
        </w:rPr>
        <w:t xml:space="preserve">Indonesia memanfaatkan </w:t>
      </w:r>
      <w:r>
        <w:rPr>
          <w:sz w:val="24"/>
          <w:lang w:val="id-ID"/>
        </w:rPr>
        <w:t>Persetujuan Paris</w:t>
      </w:r>
      <w:r>
        <w:rPr>
          <w:sz w:val="24"/>
          <w:szCs w:val="24"/>
          <w:lang w:val="id-ID"/>
        </w:rPr>
        <w:t xml:space="preserve"> untuk mengembangkan sektor energinya? </w:t>
      </w:r>
    </w:p>
    <w:p w:rsidR="005F4846" w:rsidRPr="005F4846" w:rsidRDefault="005F4846" w:rsidP="005F4846">
      <w:pPr>
        <w:spacing w:before="78" w:line="480" w:lineRule="auto"/>
        <w:ind w:right="3"/>
        <w:jc w:val="both"/>
        <w:rPr>
          <w:sz w:val="24"/>
          <w:szCs w:val="24"/>
          <w:lang w:val="id-ID"/>
        </w:rPr>
      </w:pPr>
      <w:r>
        <w:rPr>
          <w:sz w:val="24"/>
          <w:szCs w:val="24"/>
          <w:lang w:val="id-ID"/>
        </w:rPr>
        <w:t xml:space="preserve">adalah sebagai berikut: </w:t>
      </w:r>
    </w:p>
    <w:p w:rsidR="005F4846" w:rsidRDefault="005F4846" w:rsidP="005F4846">
      <w:pPr>
        <w:pStyle w:val="BodyText"/>
        <w:numPr>
          <w:ilvl w:val="0"/>
          <w:numId w:val="1"/>
        </w:numPr>
        <w:spacing w:line="480" w:lineRule="auto"/>
        <w:jc w:val="both"/>
        <w:rPr>
          <w:lang w:val="id-ID"/>
        </w:rPr>
      </w:pPr>
      <w:r>
        <w:rPr>
          <w:lang w:val="id-ID"/>
        </w:rPr>
        <w:t xml:space="preserve">Dampak dari ratifikasi Indonesia terhadap Persetujuan Paris adalah bagus dan baik, karena bisa menumbuhkan </w:t>
      </w:r>
      <w:r>
        <w:rPr>
          <w:lang w:val="id-ID"/>
        </w:rPr>
        <w:t>pembangkit energi baru dan terbarukan (</w:t>
      </w:r>
      <w:r>
        <w:rPr>
          <w:lang w:val="id-ID"/>
        </w:rPr>
        <w:t>EBT</w:t>
      </w:r>
      <w:r>
        <w:rPr>
          <w:lang w:val="id-ID"/>
        </w:rPr>
        <w:t>)</w:t>
      </w:r>
      <w:r>
        <w:rPr>
          <w:lang w:val="id-ID"/>
        </w:rPr>
        <w:t xml:space="preserve"> dan mengurangi ketergantungan terhadap energi fosil</w:t>
      </w:r>
    </w:p>
    <w:p w:rsidR="005F4846" w:rsidRDefault="005F4846" w:rsidP="005F4846">
      <w:pPr>
        <w:pStyle w:val="BodyText"/>
        <w:numPr>
          <w:ilvl w:val="0"/>
          <w:numId w:val="1"/>
        </w:numPr>
        <w:spacing w:line="480" w:lineRule="auto"/>
        <w:jc w:val="both"/>
        <w:rPr>
          <w:lang w:val="id-ID"/>
        </w:rPr>
      </w:pPr>
      <w:r>
        <w:rPr>
          <w:lang w:val="id-ID"/>
        </w:rPr>
        <w:t>Penerapan Persetujuan Paris di Indonesia, untuk regulasi sudah baik. Sudah ada</w:t>
      </w:r>
      <w:r>
        <w:rPr>
          <w:lang w:val="id-ID"/>
        </w:rPr>
        <w:t xml:space="preserve"> sejumlah regulasi pendukung seperti Kebijakan Ekonomi Nasional</w:t>
      </w:r>
      <w:r>
        <w:rPr>
          <w:lang w:val="id-ID"/>
        </w:rPr>
        <w:t xml:space="preserve"> </w:t>
      </w:r>
      <w:r>
        <w:rPr>
          <w:lang w:val="id-ID"/>
        </w:rPr>
        <w:t>(</w:t>
      </w:r>
      <w:r>
        <w:rPr>
          <w:lang w:val="id-ID"/>
        </w:rPr>
        <w:t>KEN</w:t>
      </w:r>
      <w:r>
        <w:rPr>
          <w:lang w:val="id-ID"/>
        </w:rPr>
        <w:t>)</w:t>
      </w:r>
      <w:r>
        <w:rPr>
          <w:lang w:val="id-ID"/>
        </w:rPr>
        <w:t xml:space="preserve">, </w:t>
      </w:r>
      <w:r>
        <w:rPr>
          <w:lang w:val="id-ID"/>
        </w:rPr>
        <w:t>kemudian Rencana Umum Energi Nasional (</w:t>
      </w:r>
      <w:r>
        <w:rPr>
          <w:lang w:val="id-ID"/>
        </w:rPr>
        <w:t>RUEN</w:t>
      </w:r>
      <w:r>
        <w:rPr>
          <w:lang w:val="id-ID"/>
        </w:rPr>
        <w:t>) hingga turunannya Rencana Umum Energi Daerah (RUED)</w:t>
      </w:r>
      <w:r>
        <w:rPr>
          <w:lang w:val="id-ID"/>
        </w:rPr>
        <w:t xml:space="preserve">, </w:t>
      </w:r>
      <w:r>
        <w:rPr>
          <w:lang w:val="id-ID"/>
        </w:rPr>
        <w:t>Rencana Pembangunan Jangka Menengah Nasional (</w:t>
      </w:r>
      <w:r>
        <w:rPr>
          <w:lang w:val="id-ID"/>
        </w:rPr>
        <w:t>RPJMN</w:t>
      </w:r>
      <w:r>
        <w:rPr>
          <w:lang w:val="id-ID"/>
        </w:rPr>
        <w:t>) dan di daerah RPJMD</w:t>
      </w:r>
      <w:r>
        <w:rPr>
          <w:lang w:val="id-ID"/>
        </w:rPr>
        <w:t>. Akan tetapi implementasi</w:t>
      </w:r>
      <w:r>
        <w:rPr>
          <w:lang w:val="id-ID"/>
        </w:rPr>
        <w:t xml:space="preserve"> atau penerapan dari regulasi-regulasi ini </w:t>
      </w:r>
      <w:r>
        <w:rPr>
          <w:lang w:val="id-ID"/>
        </w:rPr>
        <w:t xml:space="preserve">masih kurang. </w:t>
      </w:r>
    </w:p>
    <w:p w:rsidR="005F4846" w:rsidRDefault="005F4846" w:rsidP="005F4846">
      <w:pPr>
        <w:pStyle w:val="BodyText"/>
        <w:spacing w:line="480" w:lineRule="auto"/>
        <w:jc w:val="both"/>
        <w:rPr>
          <w:lang w:val="id-ID"/>
        </w:rPr>
      </w:pPr>
      <w:r>
        <w:rPr>
          <w:lang w:val="id-ID"/>
        </w:rPr>
        <w:t xml:space="preserve">Tidak heran jika </w:t>
      </w:r>
      <w:r>
        <w:rPr>
          <w:lang w:val="id-ID"/>
        </w:rPr>
        <w:t xml:space="preserve">Indonesia </w:t>
      </w:r>
      <w:r>
        <w:rPr>
          <w:lang w:val="id-ID"/>
        </w:rPr>
        <w:t xml:space="preserve">kemudian </w:t>
      </w:r>
      <w:r>
        <w:rPr>
          <w:lang w:val="id-ID"/>
        </w:rPr>
        <w:t xml:space="preserve">skala kesiapannya menuju pencapaian </w:t>
      </w:r>
      <w:r>
        <w:rPr>
          <w:lang w:val="id-ID"/>
        </w:rPr>
        <w:t xml:space="preserve">target masih jauh dari tercapai, yakni skala 43, dari skala 0-100 berdasarkan pembobotan </w:t>
      </w:r>
      <w:r>
        <w:rPr>
          <w:lang w:val="id-ID"/>
        </w:rPr>
        <w:lastRenderedPageBreak/>
        <w:t xml:space="preserve">dengan perhitungan Skala Ordinal. </w:t>
      </w:r>
      <w:r>
        <w:rPr>
          <w:lang w:val="id-ID"/>
        </w:rPr>
        <w:t xml:space="preserve"> </w:t>
      </w:r>
    </w:p>
    <w:p w:rsidR="00F94D2F" w:rsidRDefault="005F4846" w:rsidP="005F4846">
      <w:pPr>
        <w:pStyle w:val="BodyText"/>
        <w:numPr>
          <w:ilvl w:val="0"/>
          <w:numId w:val="1"/>
        </w:numPr>
        <w:spacing w:line="480" w:lineRule="auto"/>
        <w:jc w:val="both"/>
        <w:rPr>
          <w:lang w:val="id-ID"/>
        </w:rPr>
      </w:pPr>
      <w:r>
        <w:rPr>
          <w:lang w:val="id-ID"/>
        </w:rPr>
        <w:t>Juga masih ada banyak hambatan dan solusi yang ada</w:t>
      </w:r>
      <w:r>
        <w:rPr>
          <w:lang w:val="id-ID"/>
        </w:rPr>
        <w:t xml:space="preserve">, berdasarkan rangkuman dari nara sumber penelitian. </w:t>
      </w:r>
      <w:r w:rsidR="00F94D2F">
        <w:rPr>
          <w:lang w:val="id-ID"/>
        </w:rPr>
        <w:t xml:space="preserve">Hambatannya antara lain kondisi politik dan regulasi, harga pembangunan pembangkit dan harga listrik EBT yang masih tinggi, kurangnya insentif dan pendanaan serta minimnya edukasi ke masyarakat akan pengurangan subsidi. </w:t>
      </w:r>
    </w:p>
    <w:p w:rsidR="005F4846" w:rsidRDefault="005F4846" w:rsidP="00F94D2F">
      <w:pPr>
        <w:pStyle w:val="BodyText"/>
        <w:spacing w:line="480" w:lineRule="auto"/>
        <w:jc w:val="both"/>
        <w:rPr>
          <w:lang w:val="id-ID"/>
        </w:rPr>
      </w:pPr>
      <w:r>
        <w:rPr>
          <w:lang w:val="id-ID"/>
        </w:rPr>
        <w:t>Solusi yang diajukan pun</w:t>
      </w:r>
      <w:r>
        <w:rPr>
          <w:lang w:val="id-ID"/>
        </w:rPr>
        <w:t xml:space="preserve"> belum tentu kemudian dapat mendorong pencapaian target </w:t>
      </w:r>
      <w:r>
        <w:rPr>
          <w:lang w:val="id-ID"/>
        </w:rPr>
        <w:t xml:space="preserve">Nationally Determined Contributions (NDC) </w:t>
      </w:r>
      <w:r>
        <w:rPr>
          <w:lang w:val="id-ID"/>
        </w:rPr>
        <w:t xml:space="preserve">secara signifikan. </w:t>
      </w:r>
      <w:r w:rsidR="00F94D2F">
        <w:rPr>
          <w:lang w:val="id-ID"/>
        </w:rPr>
        <w:t xml:space="preserve">Solusi yang diajukan antara lain perbaikan regulasi EBT, memasukkan mekanisme perdagangan karbon, pasar karbon dan pajak karbon. Kemudian mendorong EBT sebagai prioritas kebijakan, melakukan konservasi energi, mendorong pendanaan investasi EBT, memberikan insentif dan melakukan pengurangan pajak untuk IPP EBT. Menorong sistem pencatatan dan pengukuran mekanisme pasar karbon, serta mencabut subsidi energi. </w:t>
      </w:r>
    </w:p>
    <w:p w:rsidR="005F4846" w:rsidRDefault="005F4846" w:rsidP="005F4846">
      <w:pPr>
        <w:pStyle w:val="BodyText"/>
        <w:numPr>
          <w:ilvl w:val="0"/>
          <w:numId w:val="1"/>
        </w:numPr>
        <w:spacing w:line="480" w:lineRule="auto"/>
        <w:jc w:val="both"/>
        <w:rPr>
          <w:lang w:val="id-ID"/>
        </w:rPr>
      </w:pPr>
      <w:r>
        <w:rPr>
          <w:lang w:val="id-ID"/>
        </w:rPr>
        <w:t xml:space="preserve">Salah satu solusi yang didorong saat ini adalah menciptakan mekanisme pasar karbon, dengan cara memperkuat </w:t>
      </w:r>
      <w:r w:rsidR="00F94D2F" w:rsidRPr="00F94D2F">
        <w:rPr>
          <w:i/>
          <w:lang w:val="id-ID"/>
        </w:rPr>
        <w:t>measurement reporting verification</w:t>
      </w:r>
      <w:r w:rsidR="00F94D2F">
        <w:rPr>
          <w:lang w:val="id-ID"/>
        </w:rPr>
        <w:t xml:space="preserve"> (</w:t>
      </w:r>
      <w:r>
        <w:rPr>
          <w:lang w:val="id-ID"/>
        </w:rPr>
        <w:t>MRV</w:t>
      </w:r>
      <w:r w:rsidR="00F94D2F">
        <w:rPr>
          <w:lang w:val="id-ID"/>
        </w:rPr>
        <w:t>) atau pelaporan dan penghitungan skema pasar karbon dan pajak karbon</w:t>
      </w:r>
      <w:r>
        <w:rPr>
          <w:lang w:val="id-ID"/>
        </w:rPr>
        <w:t xml:space="preserve">. </w:t>
      </w:r>
    </w:p>
    <w:p w:rsidR="005F4846" w:rsidRDefault="005F4846" w:rsidP="005F4846">
      <w:pPr>
        <w:pStyle w:val="BodyText"/>
        <w:numPr>
          <w:ilvl w:val="0"/>
          <w:numId w:val="1"/>
        </w:numPr>
        <w:spacing w:line="480" w:lineRule="auto"/>
        <w:jc w:val="both"/>
        <w:rPr>
          <w:lang w:val="id-ID"/>
        </w:rPr>
      </w:pPr>
      <w:r>
        <w:rPr>
          <w:lang w:val="id-ID"/>
        </w:rPr>
        <w:t xml:space="preserve">Pemanfaatan Persetujuan Paris terutama untuk pembiayaan sudah mulai dilakukan. Di </w:t>
      </w:r>
      <w:r w:rsidR="00F94D2F">
        <w:rPr>
          <w:lang w:val="id-ID"/>
        </w:rPr>
        <w:t xml:space="preserve">Kementerian </w:t>
      </w:r>
      <w:r>
        <w:rPr>
          <w:lang w:val="id-ID"/>
        </w:rPr>
        <w:t>ESDM dan KLH</w:t>
      </w:r>
      <w:r w:rsidR="00F94D2F">
        <w:rPr>
          <w:lang w:val="id-ID"/>
        </w:rPr>
        <w:t>K</w:t>
      </w:r>
      <w:r>
        <w:rPr>
          <w:lang w:val="id-ID"/>
        </w:rPr>
        <w:t xml:space="preserve"> memakai </w:t>
      </w:r>
      <w:r w:rsidR="00F94D2F">
        <w:rPr>
          <w:lang w:val="id-ID"/>
        </w:rPr>
        <w:t>Badan Layanan Umum (</w:t>
      </w:r>
      <w:r>
        <w:rPr>
          <w:lang w:val="id-ID"/>
        </w:rPr>
        <w:t>BLU</w:t>
      </w:r>
      <w:r w:rsidR="00F94D2F">
        <w:rPr>
          <w:lang w:val="id-ID"/>
        </w:rPr>
        <w:t>)</w:t>
      </w:r>
      <w:r>
        <w:rPr>
          <w:lang w:val="id-ID"/>
        </w:rPr>
        <w:t xml:space="preserve">, serta melibatkan </w:t>
      </w:r>
      <w:r w:rsidR="00F94D2F">
        <w:rPr>
          <w:lang w:val="id-ID"/>
        </w:rPr>
        <w:t>BUMN pembiayaan infrastruktur PT Sarana Multi Infrastruktur (</w:t>
      </w:r>
      <w:r>
        <w:rPr>
          <w:lang w:val="id-ID"/>
        </w:rPr>
        <w:t>SMI</w:t>
      </w:r>
      <w:r w:rsidR="00F94D2F">
        <w:rPr>
          <w:lang w:val="id-ID"/>
        </w:rPr>
        <w:t>)</w:t>
      </w:r>
      <w:r>
        <w:rPr>
          <w:lang w:val="id-ID"/>
        </w:rPr>
        <w:t xml:space="preserve"> untuk mengambil dana dari negara donor untuk pengembangan </w:t>
      </w:r>
      <w:r w:rsidR="00F94D2F">
        <w:rPr>
          <w:lang w:val="id-ID"/>
        </w:rPr>
        <w:t>energi baru dan terbarukan (</w:t>
      </w:r>
      <w:r>
        <w:rPr>
          <w:lang w:val="id-ID"/>
        </w:rPr>
        <w:t>EBT</w:t>
      </w:r>
      <w:r w:rsidR="00F94D2F">
        <w:rPr>
          <w:lang w:val="id-ID"/>
        </w:rPr>
        <w:t>)</w:t>
      </w:r>
      <w:r>
        <w:rPr>
          <w:lang w:val="id-ID"/>
        </w:rPr>
        <w:t xml:space="preserve">. Pemanfaatan pendanaan dari negara donor juga bisa berupada Dana Ketahanan Energi. </w:t>
      </w:r>
    </w:p>
    <w:p w:rsidR="00F94D2F" w:rsidRDefault="00F94D2F" w:rsidP="00F94D2F">
      <w:pPr>
        <w:pStyle w:val="BodyText"/>
        <w:spacing w:line="480" w:lineRule="auto"/>
        <w:jc w:val="both"/>
        <w:rPr>
          <w:lang w:val="id-ID"/>
        </w:rPr>
      </w:pPr>
    </w:p>
    <w:p w:rsidR="005F4846" w:rsidRPr="00F94D2F" w:rsidRDefault="00F94D2F" w:rsidP="005F4846">
      <w:pPr>
        <w:pStyle w:val="BodyText"/>
        <w:spacing w:line="480" w:lineRule="auto"/>
        <w:jc w:val="both"/>
        <w:rPr>
          <w:b/>
          <w:sz w:val="28"/>
          <w:szCs w:val="28"/>
          <w:lang w:val="id-ID"/>
        </w:rPr>
      </w:pPr>
      <w:r w:rsidRPr="00F94D2F">
        <w:rPr>
          <w:b/>
          <w:sz w:val="28"/>
          <w:szCs w:val="28"/>
          <w:lang w:val="id-ID"/>
        </w:rPr>
        <w:lastRenderedPageBreak/>
        <w:t xml:space="preserve">5.2 </w:t>
      </w:r>
      <w:r w:rsidR="005F4846" w:rsidRPr="00F94D2F">
        <w:rPr>
          <w:b/>
          <w:sz w:val="28"/>
          <w:szCs w:val="28"/>
          <w:lang w:val="id-ID"/>
        </w:rPr>
        <w:t>Saran</w:t>
      </w:r>
    </w:p>
    <w:p w:rsidR="005F4846" w:rsidRDefault="005F4846" w:rsidP="00F94D2F">
      <w:pPr>
        <w:pStyle w:val="BodyText"/>
        <w:spacing w:line="480" w:lineRule="auto"/>
        <w:ind w:firstLine="720"/>
        <w:jc w:val="both"/>
        <w:rPr>
          <w:lang w:val="id-ID"/>
        </w:rPr>
      </w:pPr>
      <w:r>
        <w:rPr>
          <w:lang w:val="id-ID"/>
        </w:rPr>
        <w:t xml:space="preserve">Agar supaya Indonesia bisa mencapai target NDC dalam Persetujuan Paris, maka perlu diperhatikan hal-hal berikut ini: </w:t>
      </w:r>
    </w:p>
    <w:p w:rsidR="005F4846" w:rsidRDefault="005F4846" w:rsidP="005F4846">
      <w:pPr>
        <w:pStyle w:val="BodyText"/>
        <w:numPr>
          <w:ilvl w:val="0"/>
          <w:numId w:val="2"/>
        </w:numPr>
        <w:spacing w:line="480" w:lineRule="auto"/>
        <w:jc w:val="both"/>
        <w:rPr>
          <w:lang w:val="id-ID"/>
        </w:rPr>
      </w:pPr>
      <w:r>
        <w:rPr>
          <w:lang w:val="id-ID"/>
        </w:rPr>
        <w:t>Untuk hambatan politik dan regulasi, sebaiknya ada pencabutan subsidi energi, agar subsidi yang diberikan langsung untuk yang miskin atau tepat sasaran, dalam lima tahun</w:t>
      </w:r>
    </w:p>
    <w:p w:rsidR="005F4846" w:rsidRDefault="005F4846" w:rsidP="005F4846">
      <w:pPr>
        <w:pStyle w:val="BodyText"/>
        <w:numPr>
          <w:ilvl w:val="0"/>
          <w:numId w:val="2"/>
        </w:numPr>
        <w:spacing w:line="480" w:lineRule="auto"/>
        <w:jc w:val="both"/>
        <w:rPr>
          <w:lang w:val="id-ID"/>
        </w:rPr>
      </w:pPr>
      <w:r>
        <w:rPr>
          <w:lang w:val="id-ID"/>
        </w:rPr>
        <w:t xml:space="preserve">Untuk masalah harga EBT, sarannya adalah mengangkat kemampuan PLN untuk menyerap harga EBT. Selain itu </w:t>
      </w:r>
      <w:r w:rsidRPr="00F94D2F">
        <w:rPr>
          <w:i/>
          <w:lang w:val="id-ID"/>
        </w:rPr>
        <w:t>pricing policy</w:t>
      </w:r>
      <w:r>
        <w:rPr>
          <w:lang w:val="id-ID"/>
        </w:rPr>
        <w:t xml:space="preserve"> juga seharusnya ada di pemerintah. Selama ini </w:t>
      </w:r>
      <w:r w:rsidRPr="00F94D2F">
        <w:rPr>
          <w:i/>
          <w:lang w:val="id-ID"/>
        </w:rPr>
        <w:t>pricing policy</w:t>
      </w:r>
      <w:r>
        <w:rPr>
          <w:lang w:val="id-ID"/>
        </w:rPr>
        <w:t xml:space="preserve"> ada di PLN karena memang teknologi EBT mahal. </w:t>
      </w:r>
    </w:p>
    <w:p w:rsidR="005F4846" w:rsidRDefault="005F4846" w:rsidP="005F4846">
      <w:pPr>
        <w:pStyle w:val="BodyText"/>
        <w:numPr>
          <w:ilvl w:val="0"/>
          <w:numId w:val="2"/>
        </w:numPr>
        <w:spacing w:line="480" w:lineRule="auto"/>
        <w:jc w:val="both"/>
        <w:rPr>
          <w:lang w:val="id-ID"/>
        </w:rPr>
      </w:pPr>
      <w:r>
        <w:rPr>
          <w:lang w:val="id-ID"/>
        </w:rPr>
        <w:t>Insentif dan pendanaan EBT, yakni agar pemerintah memberikan insentif dan pendanaan agar pabrik-pabrik pendukung EBT bisa dibangun di Indonesia dalam rangka memenuhi TKDN dan menciptakan ekosistem bisnis yang baik.</w:t>
      </w:r>
    </w:p>
    <w:p w:rsidR="005F4846" w:rsidRDefault="005F4846" w:rsidP="005F4846">
      <w:pPr>
        <w:pStyle w:val="BodyText"/>
        <w:numPr>
          <w:ilvl w:val="0"/>
          <w:numId w:val="2"/>
        </w:numPr>
        <w:spacing w:line="480" w:lineRule="auto"/>
        <w:jc w:val="both"/>
        <w:rPr>
          <w:lang w:val="id-ID"/>
        </w:rPr>
      </w:pPr>
      <w:r>
        <w:rPr>
          <w:lang w:val="id-ID"/>
        </w:rPr>
        <w:t xml:space="preserve">Pentingnya edukasi mengenai pentingnya EBT bagi generasi mendatang. Edukasi ini juga berupa edukasi masyarakat agar tidak terlalu bergantung kepada subsidi.  </w:t>
      </w:r>
    </w:p>
    <w:p w:rsidR="005F4846" w:rsidRDefault="005F4846" w:rsidP="005F4846">
      <w:pPr>
        <w:pStyle w:val="BodyText"/>
        <w:spacing w:line="480" w:lineRule="auto"/>
        <w:jc w:val="both"/>
        <w:rPr>
          <w:lang w:val="id-ID"/>
        </w:rPr>
      </w:pPr>
    </w:p>
    <w:p w:rsidR="005F4846" w:rsidRDefault="005F4846" w:rsidP="005F4846">
      <w:pPr>
        <w:pStyle w:val="BodyText"/>
        <w:spacing w:line="480" w:lineRule="auto"/>
        <w:jc w:val="both"/>
        <w:rPr>
          <w:lang w:val="id-ID"/>
        </w:rPr>
      </w:pPr>
    </w:p>
    <w:p w:rsidR="005F4846" w:rsidRDefault="005F4846" w:rsidP="005F4846">
      <w:pPr>
        <w:pStyle w:val="BodyText"/>
        <w:spacing w:line="480" w:lineRule="auto"/>
        <w:jc w:val="both"/>
        <w:rPr>
          <w:lang w:val="id-ID"/>
        </w:rPr>
      </w:pPr>
    </w:p>
    <w:p w:rsidR="005F4846" w:rsidRDefault="005F4846" w:rsidP="005F4846">
      <w:pPr>
        <w:pStyle w:val="BodyText"/>
        <w:spacing w:line="480" w:lineRule="auto"/>
        <w:jc w:val="both"/>
        <w:rPr>
          <w:lang w:val="id-ID"/>
        </w:rPr>
      </w:pPr>
    </w:p>
    <w:p w:rsidR="005F4846" w:rsidRDefault="005F4846" w:rsidP="005F4846">
      <w:pPr>
        <w:pStyle w:val="BodyText"/>
        <w:spacing w:line="480" w:lineRule="auto"/>
        <w:jc w:val="both"/>
        <w:rPr>
          <w:lang w:val="id-ID"/>
        </w:rPr>
      </w:pPr>
    </w:p>
    <w:p w:rsidR="00F62BC4" w:rsidRDefault="00F62BC4" w:rsidP="005F4846">
      <w:pPr>
        <w:spacing w:line="480" w:lineRule="auto"/>
      </w:pPr>
    </w:p>
    <w:sectPr w:rsidR="00F62BC4" w:rsidSect="00E43A22">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846" w:rsidRDefault="005F4846" w:rsidP="005F4846">
      <w:r>
        <w:separator/>
      </w:r>
    </w:p>
  </w:endnote>
  <w:endnote w:type="continuationSeparator" w:id="0">
    <w:p w:rsidR="005F4846" w:rsidRDefault="005F4846" w:rsidP="005F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A22" w:rsidRDefault="00E43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539835"/>
      <w:docPartObj>
        <w:docPartGallery w:val="Page Numbers (Bottom of Page)"/>
        <w:docPartUnique/>
      </w:docPartObj>
    </w:sdtPr>
    <w:sdtEndPr>
      <w:rPr>
        <w:noProof/>
      </w:rPr>
    </w:sdtEndPr>
    <w:sdtContent>
      <w:bookmarkStart w:id="0" w:name="_GoBack" w:displacedByCustomXml="prev"/>
      <w:bookmarkEnd w:id="0" w:displacedByCustomXml="prev"/>
      <w:p w:rsidR="00E43A22" w:rsidRDefault="00E43A22">
        <w:pPr>
          <w:pStyle w:val="Footer"/>
          <w:jc w:val="center"/>
        </w:pPr>
        <w:r>
          <w:fldChar w:fldCharType="begin"/>
        </w:r>
        <w:r>
          <w:instrText xml:space="preserve"> PAGE   \* MERGEFORMAT </w:instrText>
        </w:r>
        <w:r>
          <w:fldChar w:fldCharType="separate"/>
        </w:r>
        <w:r w:rsidR="006D4BF4">
          <w:rPr>
            <w:noProof/>
          </w:rPr>
          <w:t>53</w:t>
        </w:r>
        <w:r>
          <w:rPr>
            <w:noProof/>
          </w:rPr>
          <w:fldChar w:fldCharType="end"/>
        </w:r>
      </w:p>
    </w:sdtContent>
  </w:sdt>
  <w:p w:rsidR="00E43A22" w:rsidRDefault="00E43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A22" w:rsidRDefault="00E4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846" w:rsidRDefault="005F4846" w:rsidP="005F4846">
      <w:r>
        <w:separator/>
      </w:r>
    </w:p>
  </w:footnote>
  <w:footnote w:type="continuationSeparator" w:id="0">
    <w:p w:rsidR="005F4846" w:rsidRDefault="005F4846" w:rsidP="005F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A22" w:rsidRDefault="00E43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846" w:rsidRDefault="005F4846">
    <w:pPr>
      <w:pStyle w:val="Header"/>
      <w:pBdr>
        <w:bottom w:val="single" w:sz="4" w:space="8" w:color="5B9BD5" w:themeColor="accent1"/>
      </w:pBdr>
      <w:spacing w:after="360"/>
      <w:contextualSpacing/>
      <w:jc w:val="right"/>
      <w:rPr>
        <w:color w:val="404040" w:themeColor="text1" w:themeTint="BF"/>
      </w:rPr>
    </w:pPr>
    <w:sdt>
      <w:sdtPr>
        <w:rPr>
          <w:i/>
          <w:color w:val="404040" w:themeColor="text1" w:themeTint="BF"/>
          <w:sz w:val="24"/>
          <w:szCs w:val="24"/>
        </w:rPr>
        <w:alias w:val="Title"/>
        <w:tag w:val=""/>
        <w:id w:val="942040131"/>
        <w:placeholder>
          <w:docPart w:val="A02239D9BDB64B1DB261F177092EC75F"/>
        </w:placeholder>
        <w:dataBinding w:prefixMappings="xmlns:ns0='http://purl.org/dc/elements/1.1/' xmlns:ns1='http://schemas.openxmlformats.org/package/2006/metadata/core-properties' " w:xpath="/ns1:coreProperties[1]/ns0:title[1]" w:storeItemID="{6C3C8BC8-F283-45AE-878A-BAB7291924A1}"/>
        <w:text/>
      </w:sdtPr>
      <w:sdtContent>
        <w:r w:rsidRPr="005F4846">
          <w:rPr>
            <w:i/>
            <w:color w:val="404040" w:themeColor="text1" w:themeTint="BF"/>
            <w:sz w:val="24"/>
            <w:szCs w:val="24"/>
            <w:lang w:val="id-ID"/>
          </w:rPr>
          <w:t>Bab 5 Kesimpulan dan Saran</w:t>
        </w:r>
      </w:sdtContent>
    </w:sdt>
  </w:p>
  <w:p w:rsidR="005F4846" w:rsidRDefault="005F4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A22" w:rsidRDefault="00E43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9265FD"/>
    <w:multiLevelType w:val="singleLevel"/>
    <w:tmpl w:val="C39265FD"/>
    <w:lvl w:ilvl="0">
      <w:start w:val="1"/>
      <w:numFmt w:val="decimal"/>
      <w:suff w:val="space"/>
      <w:lvlText w:val="%1."/>
      <w:lvlJc w:val="left"/>
    </w:lvl>
  </w:abstractNum>
  <w:abstractNum w:abstractNumId="1" w15:restartNumberingAfterBreak="0">
    <w:nsid w:val="5F8F2735"/>
    <w:multiLevelType w:val="singleLevel"/>
    <w:tmpl w:val="5F8F2735"/>
    <w:lvl w:ilvl="0">
      <w:start w:val="1"/>
      <w:numFmt w:val="decimal"/>
      <w:suff w:val="space"/>
      <w:lvlText w:val="%1."/>
      <w:lvlJc w:val="left"/>
    </w:lvl>
  </w:abstractNum>
  <w:abstractNum w:abstractNumId="2" w15:restartNumberingAfterBreak="0">
    <w:nsid w:val="72183CF9"/>
    <w:multiLevelType w:val="multilevel"/>
    <w:tmpl w:val="72183CF9"/>
    <w:lvl w:ilvl="0">
      <w:start w:val="1"/>
      <w:numFmt w:val="decimal"/>
      <w:lvlText w:val="%1."/>
      <w:lvlJc w:val="left"/>
      <w:pPr>
        <w:ind w:left="940" w:hanging="660"/>
      </w:pPr>
      <w:rPr>
        <w:rFonts w:ascii="Times New Roman" w:eastAsia="Times New Roman" w:hAnsi="Times New Roman" w:cs="Times New Roman" w:hint="default"/>
        <w:spacing w:val="-4"/>
        <w:w w:val="99"/>
        <w:sz w:val="24"/>
        <w:szCs w:val="24"/>
        <w:lang w:val="ca-ES" w:eastAsia="ca-ES" w:bidi="ca-ES"/>
      </w:rPr>
    </w:lvl>
    <w:lvl w:ilvl="1">
      <w:numFmt w:val="bullet"/>
      <w:lvlText w:val="•"/>
      <w:lvlJc w:val="left"/>
      <w:pPr>
        <w:ind w:left="1000" w:hanging="660"/>
      </w:pPr>
      <w:rPr>
        <w:rFonts w:hint="default"/>
        <w:lang w:val="ca-ES" w:eastAsia="ca-ES" w:bidi="ca-ES"/>
      </w:rPr>
    </w:lvl>
    <w:lvl w:ilvl="2">
      <w:numFmt w:val="bullet"/>
      <w:lvlText w:val="•"/>
      <w:lvlJc w:val="left"/>
      <w:pPr>
        <w:ind w:left="1940" w:hanging="660"/>
      </w:pPr>
      <w:rPr>
        <w:rFonts w:hint="default"/>
        <w:lang w:val="ca-ES" w:eastAsia="ca-ES" w:bidi="ca-ES"/>
      </w:rPr>
    </w:lvl>
    <w:lvl w:ilvl="3">
      <w:numFmt w:val="bullet"/>
      <w:lvlText w:val="•"/>
      <w:lvlJc w:val="left"/>
      <w:pPr>
        <w:ind w:left="2881" w:hanging="660"/>
      </w:pPr>
      <w:rPr>
        <w:rFonts w:hint="default"/>
        <w:lang w:val="ca-ES" w:eastAsia="ca-ES" w:bidi="ca-ES"/>
      </w:rPr>
    </w:lvl>
    <w:lvl w:ilvl="4">
      <w:numFmt w:val="bullet"/>
      <w:lvlText w:val="•"/>
      <w:lvlJc w:val="left"/>
      <w:pPr>
        <w:ind w:left="3822" w:hanging="660"/>
      </w:pPr>
      <w:rPr>
        <w:rFonts w:hint="default"/>
        <w:lang w:val="ca-ES" w:eastAsia="ca-ES" w:bidi="ca-ES"/>
      </w:rPr>
    </w:lvl>
    <w:lvl w:ilvl="5">
      <w:numFmt w:val="bullet"/>
      <w:lvlText w:val="•"/>
      <w:lvlJc w:val="left"/>
      <w:pPr>
        <w:ind w:left="4762" w:hanging="660"/>
      </w:pPr>
      <w:rPr>
        <w:rFonts w:hint="default"/>
        <w:lang w:val="ca-ES" w:eastAsia="ca-ES" w:bidi="ca-ES"/>
      </w:rPr>
    </w:lvl>
    <w:lvl w:ilvl="6">
      <w:numFmt w:val="bullet"/>
      <w:lvlText w:val="•"/>
      <w:lvlJc w:val="left"/>
      <w:pPr>
        <w:ind w:left="5703" w:hanging="660"/>
      </w:pPr>
      <w:rPr>
        <w:rFonts w:hint="default"/>
        <w:lang w:val="ca-ES" w:eastAsia="ca-ES" w:bidi="ca-ES"/>
      </w:rPr>
    </w:lvl>
    <w:lvl w:ilvl="7">
      <w:numFmt w:val="bullet"/>
      <w:lvlText w:val="•"/>
      <w:lvlJc w:val="left"/>
      <w:pPr>
        <w:ind w:left="6644" w:hanging="660"/>
      </w:pPr>
      <w:rPr>
        <w:rFonts w:hint="default"/>
        <w:lang w:val="ca-ES" w:eastAsia="ca-ES" w:bidi="ca-ES"/>
      </w:rPr>
    </w:lvl>
    <w:lvl w:ilvl="8">
      <w:numFmt w:val="bullet"/>
      <w:lvlText w:val="•"/>
      <w:lvlJc w:val="left"/>
      <w:pPr>
        <w:ind w:left="7584" w:hanging="660"/>
      </w:pPr>
      <w:rPr>
        <w:rFonts w:hint="default"/>
        <w:lang w:val="ca-ES" w:eastAsia="ca-ES" w:bidi="ca-E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46"/>
    <w:rsid w:val="005F4846"/>
    <w:rsid w:val="006D4BF4"/>
    <w:rsid w:val="00E43A22"/>
    <w:rsid w:val="00F62BC4"/>
    <w:rsid w:val="00F94D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6A33"/>
  <w15:chartTrackingRefBased/>
  <w15:docId w15:val="{4D011B8E-A8C4-46CA-8FF8-BA2903E1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F4846"/>
    <w:pPr>
      <w:widowControl w:val="0"/>
      <w:autoSpaceDE w:val="0"/>
      <w:autoSpaceDN w:val="0"/>
      <w:spacing w:after="0" w:line="240" w:lineRule="auto"/>
    </w:pPr>
    <w:rPr>
      <w:rFonts w:ascii="Times New Roman" w:eastAsia="Times New Roman" w:hAnsi="Times New Roman" w:cs="Times New Roman"/>
      <w:lang w:val="ca-ES" w:eastAsia="ca-ES" w:bidi="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4846"/>
    <w:rPr>
      <w:sz w:val="24"/>
      <w:szCs w:val="24"/>
    </w:rPr>
  </w:style>
  <w:style w:type="character" w:customStyle="1" w:styleId="BodyTextChar">
    <w:name w:val="Body Text Char"/>
    <w:basedOn w:val="DefaultParagraphFont"/>
    <w:link w:val="BodyText"/>
    <w:uiPriority w:val="1"/>
    <w:rsid w:val="005F4846"/>
    <w:rPr>
      <w:rFonts w:ascii="Times New Roman" w:eastAsia="Times New Roman" w:hAnsi="Times New Roman" w:cs="Times New Roman"/>
      <w:sz w:val="24"/>
      <w:szCs w:val="24"/>
      <w:lang w:val="ca-ES" w:eastAsia="ca-ES" w:bidi="ca-ES"/>
    </w:rPr>
  </w:style>
  <w:style w:type="paragraph" w:styleId="Header">
    <w:name w:val="header"/>
    <w:basedOn w:val="Normal"/>
    <w:link w:val="HeaderChar"/>
    <w:uiPriority w:val="99"/>
    <w:unhideWhenUsed/>
    <w:rsid w:val="005F4846"/>
    <w:pPr>
      <w:tabs>
        <w:tab w:val="center" w:pos="4513"/>
        <w:tab w:val="right" w:pos="9026"/>
      </w:tabs>
    </w:pPr>
  </w:style>
  <w:style w:type="character" w:customStyle="1" w:styleId="HeaderChar">
    <w:name w:val="Header Char"/>
    <w:basedOn w:val="DefaultParagraphFont"/>
    <w:link w:val="Header"/>
    <w:uiPriority w:val="99"/>
    <w:rsid w:val="005F4846"/>
    <w:rPr>
      <w:rFonts w:ascii="Times New Roman" w:eastAsia="Times New Roman" w:hAnsi="Times New Roman" w:cs="Times New Roman"/>
      <w:lang w:val="ca-ES" w:eastAsia="ca-ES" w:bidi="ca-ES"/>
    </w:rPr>
  </w:style>
  <w:style w:type="paragraph" w:styleId="Footer">
    <w:name w:val="footer"/>
    <w:basedOn w:val="Normal"/>
    <w:link w:val="FooterChar"/>
    <w:uiPriority w:val="99"/>
    <w:unhideWhenUsed/>
    <w:rsid w:val="005F4846"/>
    <w:pPr>
      <w:tabs>
        <w:tab w:val="center" w:pos="4513"/>
        <w:tab w:val="right" w:pos="9026"/>
      </w:tabs>
    </w:pPr>
  </w:style>
  <w:style w:type="character" w:customStyle="1" w:styleId="FooterChar">
    <w:name w:val="Footer Char"/>
    <w:basedOn w:val="DefaultParagraphFont"/>
    <w:link w:val="Footer"/>
    <w:uiPriority w:val="99"/>
    <w:rsid w:val="005F4846"/>
    <w:rPr>
      <w:rFonts w:ascii="Times New Roman" w:eastAsia="Times New Roman" w:hAnsi="Times New Roman" w:cs="Times New Roman"/>
      <w:lang w:val="ca-ES" w:eastAsia="ca-ES" w:bidi="ca-ES"/>
    </w:rPr>
  </w:style>
  <w:style w:type="paragraph" w:styleId="ListParagraph">
    <w:name w:val="List Paragraph"/>
    <w:basedOn w:val="Normal"/>
    <w:uiPriority w:val="1"/>
    <w:qFormat/>
    <w:rsid w:val="005F4846"/>
    <w:pPr>
      <w:ind w:left="9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2239D9BDB64B1DB261F177092EC75F"/>
        <w:category>
          <w:name w:val="General"/>
          <w:gallery w:val="placeholder"/>
        </w:category>
        <w:types>
          <w:type w:val="bbPlcHdr"/>
        </w:types>
        <w:behaviors>
          <w:behavior w:val="content"/>
        </w:behaviors>
        <w:guid w:val="{154753E1-1B6B-4B42-8BC3-DB0265E2D0DD}"/>
      </w:docPartPr>
      <w:docPartBody>
        <w:p w:rsidR="00000000" w:rsidRDefault="008C65C4" w:rsidP="008C65C4">
          <w:pPr>
            <w:pStyle w:val="A02239D9BDB64B1DB261F177092EC75F"/>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5C4"/>
    <w:rsid w:val="008C65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2239D9BDB64B1DB261F177092EC75F">
    <w:name w:val="A02239D9BDB64B1DB261F177092EC75F"/>
    <w:rsid w:val="008C6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Bab 5 Kesimpulan dan Saran</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5 Kesimpulan dan Saran</dc:title>
  <dc:subject/>
  <dc:creator>Windows User</dc:creator>
  <cp:keywords/>
  <dc:description/>
  <cp:lastModifiedBy>Windows User</cp:lastModifiedBy>
  <cp:revision>2</cp:revision>
  <dcterms:created xsi:type="dcterms:W3CDTF">2019-09-01T20:45:00Z</dcterms:created>
  <dcterms:modified xsi:type="dcterms:W3CDTF">2019-09-01T21:05:00Z</dcterms:modified>
</cp:coreProperties>
</file>