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F67" w:rsidRPr="00B06F67" w:rsidRDefault="00B06F67" w:rsidP="00B06F67">
      <w:pPr>
        <w:pStyle w:val="Heading3"/>
        <w:spacing w:line="480" w:lineRule="auto"/>
        <w:ind w:left="0" w:right="3"/>
        <w:rPr>
          <w:rFonts w:ascii="Century Gothic" w:hAnsi="Century Gothic"/>
          <w:sz w:val="36"/>
          <w:szCs w:val="36"/>
        </w:rPr>
      </w:pPr>
      <w:r w:rsidRPr="00B06F67">
        <w:rPr>
          <w:rFonts w:ascii="Century Gothic" w:hAnsi="Century Gothic"/>
          <w:sz w:val="36"/>
          <w:szCs w:val="36"/>
        </w:rPr>
        <w:t xml:space="preserve">BAB 3 </w:t>
      </w:r>
    </w:p>
    <w:p w:rsidR="00B06F67" w:rsidRPr="00B06F67" w:rsidRDefault="00B06F67" w:rsidP="00B06F67">
      <w:pPr>
        <w:pStyle w:val="Heading3"/>
        <w:spacing w:line="480" w:lineRule="auto"/>
        <w:ind w:left="0" w:right="3"/>
        <w:rPr>
          <w:rFonts w:ascii="Century Gothic" w:hAnsi="Century Gothic"/>
          <w:sz w:val="48"/>
          <w:szCs w:val="48"/>
        </w:rPr>
      </w:pPr>
      <w:r w:rsidRPr="00B06F67">
        <w:rPr>
          <w:rFonts w:ascii="Century Gothic" w:hAnsi="Century Gothic"/>
          <w:sz w:val="48"/>
          <w:szCs w:val="48"/>
        </w:rPr>
        <w:t>METODOLOGI PENELITIAN</w:t>
      </w:r>
    </w:p>
    <w:p w:rsidR="00B06F67" w:rsidRPr="00B06F67" w:rsidRDefault="00B06F67" w:rsidP="00B06F67">
      <w:pPr>
        <w:pStyle w:val="BodyText"/>
        <w:spacing w:line="480" w:lineRule="auto"/>
        <w:jc w:val="both"/>
        <w:rPr>
          <w:b/>
          <w:sz w:val="28"/>
          <w:szCs w:val="28"/>
          <w:lang w:val="id-ID"/>
        </w:rPr>
      </w:pPr>
      <w:r w:rsidRPr="00B06F67">
        <w:rPr>
          <w:b/>
          <w:sz w:val="28"/>
          <w:szCs w:val="28"/>
          <w:lang w:val="id-ID"/>
        </w:rPr>
        <w:t>3.1 Prosedur Penelitian dan Alur Kerja</w:t>
      </w:r>
    </w:p>
    <w:p w:rsidR="00B06F67" w:rsidRPr="00B06F67" w:rsidRDefault="00B06F67" w:rsidP="00B06F67">
      <w:pPr>
        <w:pStyle w:val="BodyText"/>
        <w:spacing w:line="480" w:lineRule="auto"/>
        <w:ind w:firstLine="720"/>
        <w:jc w:val="both"/>
        <w:rPr>
          <w:lang w:val="id-ID"/>
        </w:rPr>
      </w:pPr>
      <w:r w:rsidRPr="00B06F67">
        <w:t>Untuk pengumpulan data pada metode kualitatif yakni menggunakan literature review dan wawancara terbuka pada nara sumber primer yang berasal dari tiga pilar yakni regulator</w:t>
      </w:r>
      <w:r w:rsidRPr="00B06F67">
        <w:rPr>
          <w:lang w:val="id-ID"/>
        </w:rPr>
        <w:t xml:space="preserve"> dan</w:t>
      </w:r>
      <w:r w:rsidRPr="00B06F67">
        <w:t xml:space="preserve"> </w:t>
      </w:r>
      <w:r>
        <w:rPr>
          <w:lang w:val="id-ID"/>
        </w:rPr>
        <w:t>Dewan Perwakilan Rakyat (</w:t>
      </w:r>
      <w:r w:rsidRPr="00B06F67">
        <w:t>DPR</w:t>
      </w:r>
      <w:r>
        <w:rPr>
          <w:lang w:val="id-ID"/>
        </w:rPr>
        <w:t xml:space="preserve"> RI)</w:t>
      </w:r>
      <w:r w:rsidRPr="00B06F67">
        <w:t>, praktisi</w:t>
      </w:r>
      <w:r>
        <w:rPr>
          <w:lang w:val="id-ID"/>
        </w:rPr>
        <w:t xml:space="preserve"> atau ahli</w:t>
      </w:r>
      <w:r w:rsidRPr="00B06F67">
        <w:t xml:space="preserve">, </w:t>
      </w:r>
      <w:r>
        <w:rPr>
          <w:lang w:val="id-ID"/>
        </w:rPr>
        <w:t>dan Non Government Organization (</w:t>
      </w:r>
      <w:r w:rsidRPr="00B06F67">
        <w:t>NGO</w:t>
      </w:r>
      <w:r>
        <w:rPr>
          <w:lang w:val="id-ID"/>
        </w:rPr>
        <w:t>)</w:t>
      </w:r>
      <w:r w:rsidRPr="00B06F67">
        <w:rPr>
          <w:lang w:val="id-ID"/>
        </w:rPr>
        <w:t xml:space="preserve">. </w:t>
      </w:r>
    </w:p>
    <w:p w:rsidR="00B06F67" w:rsidRPr="00B06F67" w:rsidRDefault="00B06F67" w:rsidP="00B06F67">
      <w:pPr>
        <w:pStyle w:val="BodyText"/>
        <w:numPr>
          <w:ilvl w:val="0"/>
          <w:numId w:val="1"/>
        </w:numPr>
        <w:spacing w:before="1" w:line="480" w:lineRule="auto"/>
        <w:jc w:val="both"/>
        <w:rPr>
          <w:lang w:val="id-ID"/>
        </w:rPr>
      </w:pPr>
      <w:r w:rsidRPr="00B06F67">
        <w:t>Nara sumber wawancara untuk regulator yakni Kementerian Lingkungan Hidup dan Kehutanan (KLHK), Kementerian Energi dan Sumber Daya Mineral (E</w:t>
      </w:r>
      <w:r w:rsidRPr="00B06F67">
        <w:rPr>
          <w:lang w:val="id-ID"/>
        </w:rPr>
        <w:t>S</w:t>
      </w:r>
      <w:r w:rsidRPr="00B06F67">
        <w:t>DM).</w:t>
      </w:r>
      <w:r w:rsidRPr="00B06F67">
        <w:rPr>
          <w:lang w:val="id-ID"/>
        </w:rPr>
        <w:t xml:space="preserve"> </w:t>
      </w:r>
      <w:r w:rsidRPr="00B06F67">
        <w:t xml:space="preserve">Nara sumber wawancara untuk </w:t>
      </w:r>
      <w:r w:rsidRPr="00B06F67">
        <w:rPr>
          <w:lang w:val="id-ID"/>
        </w:rPr>
        <w:t>legislatif</w:t>
      </w:r>
      <w:r w:rsidRPr="00B06F67">
        <w:t xml:space="preserve"> yakni dari dari pihak </w:t>
      </w:r>
      <w:r w:rsidRPr="00B06F67">
        <w:rPr>
          <w:lang w:val="id-ID"/>
        </w:rPr>
        <w:t>DPR RI</w:t>
      </w:r>
      <w:r w:rsidRPr="00B06F67">
        <w:t xml:space="preserve">. </w:t>
      </w:r>
    </w:p>
    <w:p w:rsidR="00B06F67" w:rsidRDefault="00B06F67" w:rsidP="00B06F67">
      <w:pPr>
        <w:pStyle w:val="BodyText"/>
        <w:numPr>
          <w:ilvl w:val="0"/>
          <w:numId w:val="1"/>
        </w:numPr>
        <w:spacing w:before="1" w:line="480" w:lineRule="auto"/>
        <w:jc w:val="both"/>
      </w:pPr>
      <w:r w:rsidRPr="00B06F67">
        <w:t>Sementara nara sumber untuk praktisi yakni dari Kamar Dagang Indonesia (Kadin)</w:t>
      </w:r>
      <w:r w:rsidR="00266892">
        <w:rPr>
          <w:lang w:val="id-ID"/>
        </w:rPr>
        <w:t xml:space="preserve"> dan PT Sarana Multi Infrastruktur (SMI)</w:t>
      </w:r>
      <w:r w:rsidRPr="00B06F67">
        <w:t xml:space="preserve">, serta </w:t>
      </w:r>
      <w:r>
        <w:rPr>
          <w:lang w:val="id-ID"/>
        </w:rPr>
        <w:t xml:space="preserve">nara sumber ahli yakni dari dua mantan Menteri ESDM. </w:t>
      </w:r>
    </w:p>
    <w:p w:rsidR="00B06F67" w:rsidRDefault="00B06F67" w:rsidP="00B06F67">
      <w:pPr>
        <w:pStyle w:val="BodyText"/>
        <w:numPr>
          <w:ilvl w:val="0"/>
          <w:numId w:val="1"/>
        </w:numPr>
        <w:spacing w:before="1" w:line="480" w:lineRule="auto"/>
        <w:jc w:val="both"/>
      </w:pPr>
      <w:r w:rsidRPr="00B06F67">
        <w:rPr>
          <w:lang w:val="id-ID"/>
        </w:rPr>
        <w:t xml:space="preserve">Nara sumber NGO yakni </w:t>
      </w:r>
      <w:r w:rsidRPr="00B06F67">
        <w:t>Masyarakat Energi Terbarukan Indonesia (METI)</w:t>
      </w:r>
      <w:r w:rsidRPr="00B06F67">
        <w:rPr>
          <w:lang w:val="id-ID"/>
        </w:rPr>
        <w:t xml:space="preserve"> dan Institute for Essential Services and Reform (IESR) serta hasil-hasil seminarnya. </w:t>
      </w:r>
    </w:p>
    <w:p w:rsidR="00B06F67" w:rsidRPr="00B06F67" w:rsidRDefault="00B06F67" w:rsidP="00B06F67">
      <w:pPr>
        <w:pStyle w:val="BodyText"/>
        <w:spacing w:before="1" w:line="480" w:lineRule="auto"/>
        <w:ind w:firstLine="720"/>
        <w:jc w:val="both"/>
      </w:pPr>
      <w:r w:rsidRPr="00B06F67">
        <w:rPr>
          <w:lang w:val="id-ID"/>
        </w:rPr>
        <w:t>Data hasil wawancara akan diolah menggunakan skala ordinal untuk menghilangkan subjektivitas nara sumber. Sehingga hasil atau hipotesis awal yang didapatkan akan lebih valid. A</w:t>
      </w:r>
      <w:r w:rsidRPr="00B06F67">
        <w:t xml:space="preserve">lur kerja </w:t>
      </w:r>
      <w:r>
        <w:rPr>
          <w:lang w:val="id-ID"/>
        </w:rPr>
        <w:t xml:space="preserve">penelitian terlihat </w:t>
      </w:r>
      <w:r w:rsidRPr="00B06F67">
        <w:t>sebagai berikut</w:t>
      </w:r>
      <w:r>
        <w:rPr>
          <w:lang w:val="id-ID"/>
        </w:rPr>
        <w:t xml:space="preserve"> (lihat Gambar 4)</w:t>
      </w:r>
      <w:r w:rsidRPr="00B06F67">
        <w:t xml:space="preserve">: </w:t>
      </w:r>
    </w:p>
    <w:p w:rsidR="00B06F67" w:rsidRPr="00B06F67" w:rsidRDefault="00B06F67" w:rsidP="00B06F67">
      <w:pPr>
        <w:pStyle w:val="BodyText"/>
        <w:spacing w:before="1" w:line="480" w:lineRule="auto"/>
        <w:jc w:val="both"/>
        <w:rPr>
          <w:b/>
          <w:bCs/>
          <w:lang w:val="id-ID"/>
        </w:rPr>
      </w:pPr>
    </w:p>
    <w:p w:rsidR="00B06F67" w:rsidRPr="00B06F67" w:rsidRDefault="00B06F67" w:rsidP="00B06F67">
      <w:pPr>
        <w:pStyle w:val="BodyText"/>
        <w:spacing w:before="1" w:line="480" w:lineRule="auto"/>
        <w:jc w:val="both"/>
        <w:rPr>
          <w:b/>
          <w:bCs/>
          <w:lang w:val="id-ID"/>
        </w:rPr>
      </w:pPr>
    </w:p>
    <w:p w:rsidR="00B06F67" w:rsidRPr="00B06F67" w:rsidRDefault="00B06F67" w:rsidP="00B06F67">
      <w:pPr>
        <w:pStyle w:val="BodyText"/>
        <w:spacing w:before="1" w:line="480" w:lineRule="auto"/>
        <w:jc w:val="both"/>
        <w:rPr>
          <w:b/>
          <w:bCs/>
          <w:lang w:val="id-ID"/>
        </w:rPr>
      </w:pPr>
    </w:p>
    <w:p w:rsidR="00B06F67" w:rsidRPr="00B06F67" w:rsidRDefault="00052AAC" w:rsidP="00B06F67">
      <w:pPr>
        <w:pStyle w:val="BodyText"/>
        <w:spacing w:before="1" w:line="480" w:lineRule="auto"/>
        <w:jc w:val="both"/>
        <w:rPr>
          <w:b/>
          <w:bCs/>
          <w:lang w:val="id-ID"/>
        </w:rPr>
      </w:pPr>
      <w:r>
        <w:rPr>
          <w:b/>
          <w:bCs/>
          <w:lang w:val="id-ID"/>
        </w:rPr>
        <w:lastRenderedPageBreak/>
        <w:t>Gambar 4. Alur Kerja P</w:t>
      </w:r>
      <w:r w:rsidR="00B06F67" w:rsidRPr="00B06F67">
        <w:rPr>
          <w:b/>
          <w:bCs/>
          <w:lang w:val="id-ID"/>
        </w:rPr>
        <w:t>enelitian</w:t>
      </w:r>
    </w:p>
    <w:p w:rsidR="00B06F67" w:rsidRPr="00B06F67" w:rsidRDefault="00B06F67" w:rsidP="00B06F67">
      <w:pPr>
        <w:pStyle w:val="BodyText"/>
        <w:spacing w:before="1" w:line="480" w:lineRule="auto"/>
        <w:ind w:left="220" w:right="221"/>
        <w:jc w:val="both"/>
      </w:pPr>
      <w:r w:rsidRPr="00B06F67">
        <w:rPr>
          <w:noProof/>
          <w:lang w:val="id-ID" w:eastAsia="id-ID" w:bidi="ar-SA"/>
        </w:rPr>
        <w:drawing>
          <wp:inline distT="0" distB="0" distL="0" distR="0" wp14:anchorId="7D953799" wp14:editId="6082DEF8">
            <wp:extent cx="5042535" cy="4933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2535" cy="4933950"/>
                    </a:xfrm>
                    <a:prstGeom prst="rect">
                      <a:avLst/>
                    </a:prstGeom>
                    <a:noFill/>
                    <a:ln>
                      <a:noFill/>
                    </a:ln>
                  </pic:spPr>
                </pic:pic>
              </a:graphicData>
            </a:graphic>
          </wp:inline>
        </w:drawing>
      </w:r>
    </w:p>
    <w:p w:rsidR="00B06F67" w:rsidRPr="00B06F67" w:rsidRDefault="00B06F67" w:rsidP="00B06F67">
      <w:pPr>
        <w:pStyle w:val="BodyText"/>
        <w:spacing w:line="480" w:lineRule="auto"/>
        <w:jc w:val="both"/>
      </w:pPr>
    </w:p>
    <w:p w:rsidR="00B06F67" w:rsidRPr="00B06F67" w:rsidRDefault="00B06F67" w:rsidP="00B06F67">
      <w:pPr>
        <w:pStyle w:val="Heading3"/>
        <w:tabs>
          <w:tab w:val="left" w:pos="940"/>
        </w:tabs>
        <w:spacing w:line="480" w:lineRule="auto"/>
        <w:jc w:val="both"/>
        <w:rPr>
          <w:bCs w:val="0"/>
          <w:sz w:val="28"/>
          <w:szCs w:val="28"/>
          <w:lang w:val="id-ID"/>
        </w:rPr>
      </w:pPr>
      <w:r w:rsidRPr="00B06F67">
        <w:rPr>
          <w:bCs w:val="0"/>
          <w:sz w:val="28"/>
          <w:szCs w:val="28"/>
          <w:lang w:val="id-ID"/>
        </w:rPr>
        <w:t>3.2.  Metode Penelitian Kualitatif</w:t>
      </w:r>
    </w:p>
    <w:p w:rsidR="00B06F67" w:rsidRPr="00B06F67" w:rsidRDefault="00B06F67" w:rsidP="00B06F67">
      <w:pPr>
        <w:spacing w:beforeLines="150" w:before="360" w:line="480" w:lineRule="auto"/>
        <w:ind w:leftChars="100" w:left="220" w:firstLine="500"/>
        <w:jc w:val="both"/>
        <w:rPr>
          <w:bCs/>
          <w:sz w:val="24"/>
          <w:szCs w:val="24"/>
          <w:lang w:val="id-ID"/>
        </w:rPr>
      </w:pPr>
      <w:r w:rsidRPr="00B06F67">
        <w:rPr>
          <w:bCs/>
          <w:sz w:val="24"/>
          <w:szCs w:val="24"/>
          <w:lang w:val="id-ID"/>
        </w:rPr>
        <w:t xml:space="preserve">Metode penelitian kualitatif adalah metode penelitian dengan tujuan mendapatkan data kualitatif. Data kualitatif adalah data yang berbentuk kata, kalimat, gerak tubuh, ekspresi wajah, bagan, gambar dan foto (Sugiyono, 2011). </w:t>
      </w:r>
    </w:p>
    <w:p w:rsidR="00B06F67" w:rsidRPr="00B06F67" w:rsidRDefault="00B06F67" w:rsidP="00B06F67">
      <w:pPr>
        <w:widowControl/>
        <w:spacing w:after="160" w:line="480" w:lineRule="auto"/>
        <w:ind w:firstLineChars="91" w:firstLine="218"/>
        <w:jc w:val="both"/>
        <w:rPr>
          <w:rFonts w:eastAsia="Calibri"/>
          <w:b/>
          <w:bCs/>
          <w:sz w:val="24"/>
          <w:szCs w:val="24"/>
          <w:lang w:val="id-ID" w:eastAsia="zh-CN" w:bidi="ar"/>
        </w:rPr>
      </w:pPr>
    </w:p>
    <w:p w:rsidR="00B06F67" w:rsidRPr="00B06F67" w:rsidRDefault="00B06F67" w:rsidP="00B06F67">
      <w:pPr>
        <w:widowControl/>
        <w:spacing w:after="160" w:line="480" w:lineRule="auto"/>
        <w:ind w:firstLineChars="91" w:firstLine="218"/>
        <w:jc w:val="both"/>
        <w:rPr>
          <w:rFonts w:eastAsia="Calibri"/>
          <w:b/>
          <w:bCs/>
          <w:sz w:val="24"/>
          <w:szCs w:val="24"/>
          <w:lang w:val="id-ID" w:eastAsia="zh-CN" w:bidi="ar"/>
        </w:rPr>
      </w:pPr>
    </w:p>
    <w:p w:rsidR="00B06F67" w:rsidRPr="00B06F67" w:rsidRDefault="00B06F67" w:rsidP="00B06F67">
      <w:pPr>
        <w:widowControl/>
        <w:spacing w:after="160" w:line="480" w:lineRule="auto"/>
        <w:ind w:firstLineChars="91" w:firstLine="255"/>
        <w:jc w:val="both"/>
        <w:rPr>
          <w:rFonts w:eastAsia="Calibri"/>
          <w:b/>
          <w:bCs/>
          <w:sz w:val="28"/>
          <w:szCs w:val="28"/>
          <w:lang w:val="id-ID" w:eastAsia="zh-CN" w:bidi="ar"/>
        </w:rPr>
      </w:pPr>
      <w:r w:rsidRPr="00B06F67">
        <w:rPr>
          <w:rFonts w:eastAsia="Calibri"/>
          <w:b/>
          <w:bCs/>
          <w:sz w:val="28"/>
          <w:szCs w:val="28"/>
          <w:lang w:val="id-ID" w:eastAsia="zh-CN" w:bidi="ar"/>
        </w:rPr>
        <w:lastRenderedPageBreak/>
        <w:t>3.3  Pengambilan Data</w:t>
      </w:r>
    </w:p>
    <w:p w:rsidR="00B06F67" w:rsidRPr="00B06F67" w:rsidRDefault="00B06F67" w:rsidP="00B06F67">
      <w:pPr>
        <w:widowControl/>
        <w:spacing w:after="160" w:line="480" w:lineRule="auto"/>
        <w:ind w:leftChars="100" w:left="220" w:firstLine="500"/>
        <w:jc w:val="both"/>
        <w:rPr>
          <w:rFonts w:eastAsia="Calibri"/>
          <w:sz w:val="24"/>
          <w:szCs w:val="24"/>
          <w:lang w:val="id-ID" w:eastAsia="zh-CN" w:bidi="ar"/>
        </w:rPr>
      </w:pPr>
      <w:r w:rsidRPr="00B06F67">
        <w:rPr>
          <w:rFonts w:eastAsia="Calibri"/>
          <w:sz w:val="24"/>
          <w:szCs w:val="24"/>
          <w:lang w:val="id-ID" w:eastAsia="zh-CN" w:bidi="ar"/>
        </w:rPr>
        <w:t xml:space="preserve">Pengambilan data dalam penelitian ini yakni berdasarkan studi literatur berupa jurnal penelitian dan buku, terutama dengan topik perubahan iklim, kebijakan energi (energy policy), energi terbarukan. Juga berdasarkan hasil-hasil seminar yang berkaitan dengan perubahan iklim, energi dan energi terbarukan untuk Indonesia. Cara pengambilan data terakhir yakni melalui wawancara dengan nara sumber yang kompeten untuk menjawab isu lingkungan dan energi. </w:t>
      </w:r>
    </w:p>
    <w:p w:rsidR="00B06F67" w:rsidRPr="00B06F67" w:rsidRDefault="00B06F67" w:rsidP="00B06F67">
      <w:pPr>
        <w:widowControl/>
        <w:spacing w:after="160" w:line="480" w:lineRule="auto"/>
        <w:ind w:leftChars="100" w:left="220" w:firstLine="500"/>
        <w:jc w:val="both"/>
        <w:rPr>
          <w:rFonts w:eastAsia="Calibri"/>
          <w:sz w:val="24"/>
          <w:szCs w:val="24"/>
          <w:lang w:val="id-ID" w:eastAsia="zh-CN" w:bidi="ar"/>
        </w:rPr>
      </w:pPr>
      <w:r w:rsidRPr="00B06F67">
        <w:rPr>
          <w:rFonts w:eastAsia="Calibri"/>
          <w:sz w:val="24"/>
          <w:szCs w:val="24"/>
          <w:lang w:val="id-ID" w:eastAsia="zh-CN" w:bidi="ar"/>
        </w:rPr>
        <w:t>Penentuan nara sumber berdasarkan penggolongannya yakni regulator, ahli dan praktisi, NGO. Rinciannya sebagai berikut</w:t>
      </w:r>
      <w:r>
        <w:rPr>
          <w:rFonts w:eastAsia="Calibri"/>
          <w:sz w:val="24"/>
          <w:szCs w:val="24"/>
          <w:lang w:val="id-ID" w:eastAsia="zh-CN" w:bidi="ar"/>
        </w:rPr>
        <w:t xml:space="preserve"> seperti terlihat di Tabel 6</w:t>
      </w:r>
      <w:r w:rsidRPr="00B06F67">
        <w:rPr>
          <w:rFonts w:eastAsia="Calibri"/>
          <w:sz w:val="24"/>
          <w:szCs w:val="24"/>
          <w:lang w:val="id-ID" w:eastAsia="zh-CN" w:bidi="ar"/>
        </w:rPr>
        <w:t>:</w:t>
      </w:r>
    </w:p>
    <w:p w:rsidR="00B06F67" w:rsidRPr="00B06F67" w:rsidRDefault="00B06F67" w:rsidP="00B06F67">
      <w:pPr>
        <w:widowControl/>
        <w:spacing w:after="160" w:line="480" w:lineRule="auto"/>
        <w:ind w:leftChars="100" w:left="220"/>
        <w:jc w:val="both"/>
        <w:rPr>
          <w:rFonts w:eastAsia="Calibri"/>
          <w:b/>
          <w:bCs/>
          <w:sz w:val="24"/>
          <w:szCs w:val="24"/>
          <w:lang w:val="id-ID" w:eastAsia="zh-CN" w:bidi="ar"/>
        </w:rPr>
      </w:pPr>
      <w:r w:rsidRPr="00B06F67">
        <w:rPr>
          <w:rFonts w:eastAsia="Calibri"/>
          <w:b/>
          <w:bCs/>
          <w:sz w:val="24"/>
          <w:szCs w:val="24"/>
          <w:lang w:val="id-ID" w:eastAsia="zh-CN" w:bidi="ar"/>
        </w:rPr>
        <w:t xml:space="preserve">Tabel 6. Informasi Nara Sumber Penelitian </w:t>
      </w:r>
    </w:p>
    <w:tbl>
      <w:tblPr>
        <w:tblW w:w="7934" w:type="dxa"/>
        <w:tblLook w:val="04A0" w:firstRow="1" w:lastRow="0" w:firstColumn="1" w:lastColumn="0" w:noHBand="0" w:noVBand="1"/>
      </w:tblPr>
      <w:tblGrid>
        <w:gridCol w:w="1521"/>
        <w:gridCol w:w="1451"/>
        <w:gridCol w:w="2410"/>
        <w:gridCol w:w="2552"/>
      </w:tblGrid>
      <w:tr w:rsidR="00B06F67" w:rsidRPr="00B06F67" w:rsidTr="00ED1909">
        <w:trPr>
          <w:trHeight w:val="615"/>
        </w:trPr>
        <w:tc>
          <w:tcPr>
            <w:tcW w:w="1521" w:type="dxa"/>
            <w:tcBorders>
              <w:top w:val="single" w:sz="4" w:space="0" w:color="auto"/>
              <w:left w:val="single" w:sz="4" w:space="0" w:color="auto"/>
              <w:bottom w:val="double" w:sz="6" w:space="0" w:color="auto"/>
              <w:right w:val="single" w:sz="4" w:space="0" w:color="auto"/>
            </w:tcBorders>
            <w:shd w:val="clear" w:color="auto" w:fill="auto"/>
            <w:hideMark/>
          </w:tcPr>
          <w:p w:rsidR="00B06F67" w:rsidRPr="00B06F67" w:rsidRDefault="00B06F67" w:rsidP="00B06F67">
            <w:pPr>
              <w:widowControl/>
              <w:autoSpaceDE/>
              <w:autoSpaceDN/>
              <w:jc w:val="center"/>
              <w:rPr>
                <w:b/>
                <w:bCs/>
                <w:color w:val="000000"/>
                <w:lang w:val="id-ID" w:eastAsia="id-ID" w:bidi="ar-SA"/>
              </w:rPr>
            </w:pPr>
            <w:r w:rsidRPr="00B06F67">
              <w:rPr>
                <w:b/>
                <w:bCs/>
                <w:color w:val="000000"/>
                <w:lang w:val="id-ID" w:eastAsia="id-ID" w:bidi="ar-SA"/>
              </w:rPr>
              <w:t>ASAL NARA SUMBER</w:t>
            </w:r>
          </w:p>
        </w:tc>
        <w:tc>
          <w:tcPr>
            <w:tcW w:w="1451" w:type="dxa"/>
            <w:tcBorders>
              <w:top w:val="single" w:sz="4" w:space="0" w:color="auto"/>
              <w:left w:val="nil"/>
              <w:bottom w:val="double" w:sz="6" w:space="0" w:color="auto"/>
              <w:right w:val="single" w:sz="4" w:space="0" w:color="auto"/>
            </w:tcBorders>
            <w:shd w:val="clear" w:color="auto" w:fill="auto"/>
            <w:noWrap/>
            <w:hideMark/>
          </w:tcPr>
          <w:p w:rsidR="00B06F67" w:rsidRPr="00B06F67" w:rsidRDefault="00B06F67" w:rsidP="00B06F67">
            <w:pPr>
              <w:widowControl/>
              <w:autoSpaceDE/>
              <w:autoSpaceDN/>
              <w:jc w:val="center"/>
              <w:rPr>
                <w:b/>
                <w:bCs/>
                <w:color w:val="000000"/>
                <w:lang w:val="id-ID" w:eastAsia="id-ID" w:bidi="ar-SA"/>
              </w:rPr>
            </w:pPr>
            <w:r w:rsidRPr="00B06F67">
              <w:rPr>
                <w:b/>
                <w:bCs/>
                <w:color w:val="000000"/>
                <w:lang w:val="id-ID" w:eastAsia="id-ID" w:bidi="ar-SA"/>
              </w:rPr>
              <w:t>NAMA</w:t>
            </w:r>
          </w:p>
        </w:tc>
        <w:tc>
          <w:tcPr>
            <w:tcW w:w="2410" w:type="dxa"/>
            <w:tcBorders>
              <w:top w:val="single" w:sz="4" w:space="0" w:color="auto"/>
              <w:left w:val="nil"/>
              <w:bottom w:val="double" w:sz="6" w:space="0" w:color="auto"/>
              <w:right w:val="single" w:sz="4" w:space="0" w:color="auto"/>
            </w:tcBorders>
            <w:shd w:val="clear" w:color="auto" w:fill="auto"/>
            <w:noWrap/>
            <w:hideMark/>
          </w:tcPr>
          <w:p w:rsidR="00B06F67" w:rsidRPr="00B06F67" w:rsidRDefault="00B06F67" w:rsidP="00B06F67">
            <w:pPr>
              <w:widowControl/>
              <w:autoSpaceDE/>
              <w:autoSpaceDN/>
              <w:jc w:val="center"/>
              <w:rPr>
                <w:b/>
                <w:bCs/>
                <w:color w:val="000000"/>
                <w:lang w:val="id-ID" w:eastAsia="id-ID" w:bidi="ar-SA"/>
              </w:rPr>
            </w:pPr>
            <w:r w:rsidRPr="00B06F67">
              <w:rPr>
                <w:b/>
                <w:bCs/>
                <w:color w:val="000000"/>
                <w:lang w:val="id-ID" w:eastAsia="id-ID" w:bidi="ar-SA"/>
              </w:rPr>
              <w:t>JABATAN</w:t>
            </w:r>
          </w:p>
        </w:tc>
        <w:tc>
          <w:tcPr>
            <w:tcW w:w="2552" w:type="dxa"/>
            <w:tcBorders>
              <w:top w:val="single" w:sz="4" w:space="0" w:color="auto"/>
              <w:left w:val="nil"/>
              <w:bottom w:val="double" w:sz="6" w:space="0" w:color="auto"/>
              <w:right w:val="single" w:sz="4" w:space="0" w:color="auto"/>
            </w:tcBorders>
            <w:shd w:val="clear" w:color="auto" w:fill="auto"/>
            <w:noWrap/>
            <w:hideMark/>
          </w:tcPr>
          <w:p w:rsidR="00B06F67" w:rsidRPr="00B06F67" w:rsidRDefault="00B06F67" w:rsidP="00B06F67">
            <w:pPr>
              <w:widowControl/>
              <w:autoSpaceDE/>
              <w:autoSpaceDN/>
              <w:jc w:val="center"/>
              <w:rPr>
                <w:b/>
                <w:bCs/>
                <w:color w:val="000000"/>
                <w:lang w:val="id-ID" w:eastAsia="id-ID" w:bidi="ar-SA"/>
              </w:rPr>
            </w:pPr>
            <w:r w:rsidRPr="00B06F67">
              <w:rPr>
                <w:b/>
                <w:bCs/>
                <w:color w:val="000000"/>
                <w:lang w:val="id-ID" w:eastAsia="id-ID" w:bidi="ar-SA"/>
              </w:rPr>
              <w:t>Waktu wawancara/</w:t>
            </w:r>
          </w:p>
          <w:p w:rsidR="00B06F67" w:rsidRPr="00B06F67" w:rsidRDefault="00B06F67" w:rsidP="00B06F67">
            <w:pPr>
              <w:widowControl/>
              <w:autoSpaceDE/>
              <w:autoSpaceDN/>
              <w:jc w:val="center"/>
              <w:rPr>
                <w:b/>
                <w:bCs/>
                <w:color w:val="000000"/>
                <w:lang w:val="id-ID" w:eastAsia="id-ID" w:bidi="ar-SA"/>
              </w:rPr>
            </w:pPr>
            <w:r w:rsidRPr="00B06F67">
              <w:rPr>
                <w:b/>
                <w:bCs/>
                <w:color w:val="000000"/>
                <w:lang w:val="id-ID" w:eastAsia="id-ID" w:bidi="ar-SA"/>
              </w:rPr>
              <w:t>Pengambilan Data</w:t>
            </w:r>
          </w:p>
        </w:tc>
      </w:tr>
      <w:tr w:rsidR="00B06F67" w:rsidRPr="00B06F67" w:rsidTr="00ED1909">
        <w:trPr>
          <w:trHeight w:val="1215"/>
        </w:trPr>
        <w:tc>
          <w:tcPr>
            <w:tcW w:w="1521" w:type="dxa"/>
            <w:tcBorders>
              <w:top w:val="nil"/>
              <w:left w:val="single" w:sz="4" w:space="0" w:color="auto"/>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Kementerian ESDM</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Gita Lestari</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Kepala Subdirektorat Bimbingan Teknis dan Kerjasama, Direktorat Konservasi Energi</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15 Agustus 2018, wawancara langsung</w:t>
            </w:r>
          </w:p>
        </w:tc>
      </w:tr>
      <w:tr w:rsidR="00B06F67" w:rsidRPr="00B06F67" w:rsidTr="00ED1909">
        <w:trPr>
          <w:trHeight w:val="15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 </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Haris ST, MT</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 xml:space="preserve">Direktur Energi Baru dan Terbarukan, Direktorat Jenderal Energi Baru Terbarukan dan Konservasi Energi </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7 Juli 2018,  Kuliah Umum Manajemen Proyek Energi Terbarukan: Best Practice, Unsada</w:t>
            </w:r>
          </w:p>
        </w:tc>
      </w:tr>
      <w:tr w:rsidR="00B06F67" w:rsidRPr="00B06F67" w:rsidTr="00ED1909">
        <w:trPr>
          <w:trHeight w:val="9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 </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Munir Ahmad</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Direktur Teknik dan Lingkungan Ketenagalistrikan</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15 Agustus 2018, Diskusi Pojok Iklim Kesiapan Data Emisi untuk Instrumen Mitigasi Berbasis Pasar</w:t>
            </w:r>
          </w:p>
        </w:tc>
      </w:tr>
      <w:tr w:rsidR="00B06F67" w:rsidRPr="00B06F67" w:rsidTr="00ED1909">
        <w:trPr>
          <w:trHeight w:val="600"/>
        </w:trPr>
        <w:tc>
          <w:tcPr>
            <w:tcW w:w="1521" w:type="dxa"/>
            <w:tcBorders>
              <w:top w:val="nil"/>
              <w:left w:val="single" w:sz="4" w:space="0" w:color="auto"/>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Kementerian LHK</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Ir Emma Rachmawati M.Sc</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Direktur Mitigasi Perubahan Iklim</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15 Agustus 2018, wawancara langsung</w:t>
            </w:r>
          </w:p>
        </w:tc>
      </w:tr>
      <w:tr w:rsidR="00B06F67" w:rsidRPr="00B06F67" w:rsidTr="00ED1909">
        <w:trPr>
          <w:trHeight w:val="900"/>
        </w:trPr>
        <w:tc>
          <w:tcPr>
            <w:tcW w:w="1521" w:type="dxa"/>
            <w:tcBorders>
              <w:top w:val="nil"/>
              <w:left w:val="single" w:sz="4" w:space="0" w:color="auto"/>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Kemenko Perekonomian</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Dicky Edwin Hindarto</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 xml:space="preserve">Advisor Joint Crediting Mechanism Implementation </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15 Agustus 2018, Diskusi Pojok Iklim Kesiapan Data Emisi untuk Instrumen Mitigasi Berbasis Pasar</w:t>
            </w:r>
          </w:p>
        </w:tc>
      </w:tr>
      <w:tr w:rsidR="00B06F67" w:rsidRPr="00B06F67" w:rsidTr="00ED1909">
        <w:trPr>
          <w:trHeight w:val="15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lastRenderedPageBreak/>
              <w:t>DPR</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Satya Widya Yudha</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Wakil Ketua Komisi I Dewan Perwakilan Rakyat (DPR RI), Ketua Kaukus Ekonomi Hijau DPR</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15 Agustus 2018, wawancara langsung</w:t>
            </w:r>
          </w:p>
        </w:tc>
      </w:tr>
      <w:tr w:rsidR="00B06F67" w:rsidRPr="00B06F67" w:rsidTr="00ED1909">
        <w:trPr>
          <w:trHeight w:val="9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SMI</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Emma Sri Martini</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Presiden Direktur PT Sarana Multi Infrastruktur</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19 Desember 2018, Seminar IESR Masa Depan Energi Terbarukan Indonesia, Berlayar Menerjang Badai</w:t>
            </w:r>
          </w:p>
        </w:tc>
      </w:tr>
      <w:tr w:rsidR="00B06F67" w:rsidRPr="00B06F67" w:rsidTr="00ED1909">
        <w:trPr>
          <w:trHeight w:val="9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Ahli</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Sudirman Said</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Menteri ESDM 2014-2016</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19 Desember 2018, Seminar IESR Masa Depan Energi Terbarukan Indonesia, Berlayar Menerjang Badai</w:t>
            </w:r>
          </w:p>
        </w:tc>
      </w:tr>
      <w:tr w:rsidR="00B06F67" w:rsidRPr="00B06F67" w:rsidTr="00ED1909">
        <w:trPr>
          <w:trHeight w:val="9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 </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Purnomo Yusgiantoro</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Menteri ESDM 2000-2009</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19 Desember 2018, Seminar IESR Masa Depan Energi Terbarukan Indonesia, Berlayar Menerjang Badai</w:t>
            </w:r>
          </w:p>
        </w:tc>
      </w:tr>
      <w:tr w:rsidR="00B06F67" w:rsidRPr="00B06F67" w:rsidTr="00ED1909">
        <w:trPr>
          <w:trHeight w:val="12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METI</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Paul Butar-butar</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Wakil Ketua Masyarakat Energi Terbarukan Indonesia (METI)</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14 Agustus 2018, wawancara langsung</w:t>
            </w:r>
          </w:p>
        </w:tc>
      </w:tr>
      <w:tr w:rsidR="00B06F67" w:rsidRPr="00B06F67" w:rsidTr="00ED1909">
        <w:trPr>
          <w:trHeight w:val="9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 </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Dr. Surya Darma</w:t>
            </w:r>
          </w:p>
        </w:tc>
        <w:tc>
          <w:tcPr>
            <w:tcW w:w="2410"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 xml:space="preserve"> Ketua METI </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19 Desember 2018, Seminar IESR Masa Depan Energi Terbarukan Indonesia, Berlayar Menerjang Badai</w:t>
            </w:r>
          </w:p>
        </w:tc>
      </w:tr>
      <w:tr w:rsidR="00B06F67" w:rsidRPr="00B06F67" w:rsidTr="00ED1909">
        <w:trPr>
          <w:trHeight w:val="12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KADIN</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Fauzi Imron</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Kamar Dagang dan Industri (Kadin) Bidang Energi Terbarukan. Anggota IMEF</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17 Januari 2019, Seminar IMEF Outlook Energi dan Pertambangan Indonesia 2019</w:t>
            </w:r>
          </w:p>
        </w:tc>
      </w:tr>
      <w:tr w:rsidR="00B06F67" w:rsidRPr="00B06F67" w:rsidTr="00ED1909">
        <w:trPr>
          <w:trHeight w:val="900"/>
        </w:trPr>
        <w:tc>
          <w:tcPr>
            <w:tcW w:w="1521" w:type="dxa"/>
            <w:tcBorders>
              <w:top w:val="nil"/>
              <w:left w:val="single" w:sz="4" w:space="0" w:color="auto"/>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IESR</w:t>
            </w:r>
          </w:p>
        </w:tc>
        <w:tc>
          <w:tcPr>
            <w:tcW w:w="1451" w:type="dxa"/>
            <w:tcBorders>
              <w:top w:val="nil"/>
              <w:left w:val="nil"/>
              <w:bottom w:val="single" w:sz="4" w:space="0" w:color="auto"/>
              <w:right w:val="single" w:sz="4" w:space="0" w:color="auto"/>
            </w:tcBorders>
            <w:shd w:val="clear" w:color="auto" w:fill="auto"/>
            <w:noWrap/>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Fabby Tumiwa</w:t>
            </w:r>
          </w:p>
        </w:tc>
        <w:tc>
          <w:tcPr>
            <w:tcW w:w="2410"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Direktur Eksekutif IESR</w:t>
            </w:r>
          </w:p>
        </w:tc>
        <w:tc>
          <w:tcPr>
            <w:tcW w:w="2552" w:type="dxa"/>
            <w:tcBorders>
              <w:top w:val="nil"/>
              <w:left w:val="nil"/>
              <w:bottom w:val="single" w:sz="4" w:space="0" w:color="auto"/>
              <w:right w:val="single" w:sz="4" w:space="0" w:color="auto"/>
            </w:tcBorders>
            <w:shd w:val="clear" w:color="auto" w:fill="auto"/>
            <w:hideMark/>
          </w:tcPr>
          <w:p w:rsidR="00B06F67" w:rsidRPr="00B06F67" w:rsidRDefault="00B06F67" w:rsidP="00B06F67">
            <w:pPr>
              <w:widowControl/>
              <w:autoSpaceDE/>
              <w:autoSpaceDN/>
              <w:rPr>
                <w:color w:val="000000"/>
                <w:lang w:val="id-ID" w:eastAsia="id-ID" w:bidi="ar-SA"/>
              </w:rPr>
            </w:pPr>
            <w:r w:rsidRPr="00B06F67">
              <w:rPr>
                <w:color w:val="000000"/>
                <w:lang w:val="id-ID" w:eastAsia="id-ID" w:bidi="ar-SA"/>
              </w:rPr>
              <w:t>19 Desember 2018, Seminar IESR Masa Depan Energi Terbarukan Indonesia, Berlayar Menerjang Badai</w:t>
            </w:r>
          </w:p>
        </w:tc>
      </w:tr>
    </w:tbl>
    <w:p w:rsidR="00B06F67" w:rsidRPr="00B06F67" w:rsidRDefault="00B06F67" w:rsidP="00B06F67">
      <w:pPr>
        <w:widowControl/>
        <w:spacing w:after="160" w:line="480" w:lineRule="auto"/>
        <w:ind w:leftChars="100" w:left="220"/>
        <w:jc w:val="both"/>
        <w:rPr>
          <w:rFonts w:eastAsia="Calibri"/>
          <w:sz w:val="24"/>
          <w:szCs w:val="24"/>
          <w:lang w:val="id-ID" w:eastAsia="zh-CN" w:bidi="ar"/>
        </w:rPr>
      </w:pPr>
    </w:p>
    <w:p w:rsidR="00B06F67" w:rsidRPr="00266892" w:rsidRDefault="00266892" w:rsidP="00B06F67">
      <w:pPr>
        <w:widowControl/>
        <w:spacing w:after="160" w:line="480" w:lineRule="auto"/>
        <w:ind w:leftChars="100" w:left="220"/>
        <w:jc w:val="both"/>
        <w:rPr>
          <w:rFonts w:eastAsia="Calibri"/>
          <w:b/>
          <w:bCs/>
          <w:sz w:val="28"/>
          <w:szCs w:val="28"/>
          <w:lang w:val="id-ID" w:eastAsia="zh-CN" w:bidi="ar"/>
        </w:rPr>
      </w:pPr>
      <w:r w:rsidRPr="00266892">
        <w:rPr>
          <w:rFonts w:eastAsia="Calibri"/>
          <w:b/>
          <w:bCs/>
          <w:sz w:val="28"/>
          <w:szCs w:val="28"/>
          <w:lang w:val="id-ID" w:eastAsia="zh-CN" w:bidi="ar"/>
        </w:rPr>
        <w:t>3.4</w:t>
      </w:r>
      <w:r w:rsidR="00B06F67" w:rsidRPr="00266892">
        <w:rPr>
          <w:rFonts w:eastAsia="Calibri"/>
          <w:b/>
          <w:bCs/>
          <w:sz w:val="28"/>
          <w:szCs w:val="28"/>
          <w:lang w:val="id-ID" w:eastAsia="zh-CN" w:bidi="ar"/>
        </w:rPr>
        <w:t xml:space="preserve"> Lokasi dan Waktu Penelitian</w:t>
      </w:r>
    </w:p>
    <w:p w:rsidR="00B06F67" w:rsidRPr="00B06F67" w:rsidRDefault="00B06F67" w:rsidP="00B06F67">
      <w:pPr>
        <w:widowControl/>
        <w:spacing w:after="160" w:line="480" w:lineRule="auto"/>
        <w:ind w:leftChars="100" w:left="220"/>
        <w:jc w:val="both"/>
        <w:rPr>
          <w:rFonts w:eastAsia="Calibri"/>
          <w:sz w:val="24"/>
          <w:szCs w:val="24"/>
          <w:lang w:val="id-ID" w:eastAsia="zh-CN" w:bidi="ar"/>
        </w:rPr>
      </w:pPr>
      <w:r w:rsidRPr="00B06F67">
        <w:rPr>
          <w:rFonts w:eastAsia="Calibri"/>
          <w:sz w:val="24"/>
          <w:szCs w:val="24"/>
          <w:lang w:val="id-ID" w:eastAsia="zh-CN" w:bidi="ar"/>
        </w:rPr>
        <w:t xml:space="preserve">Lokasi penelitian dibatasi pada Indonesia. Jangka waktu penelitian pada 2017-Januari 2019. </w:t>
      </w:r>
    </w:p>
    <w:p w:rsidR="00B06F67" w:rsidRPr="00B06F67" w:rsidRDefault="00B06F67" w:rsidP="00B06F67">
      <w:pPr>
        <w:spacing w:line="480" w:lineRule="auto"/>
        <w:rPr>
          <w:sz w:val="24"/>
          <w:szCs w:val="24"/>
          <w:lang w:val="id-ID"/>
        </w:rPr>
      </w:pPr>
    </w:p>
    <w:p w:rsidR="00B06F67" w:rsidRPr="00266892" w:rsidRDefault="00266892" w:rsidP="00B06F67">
      <w:pPr>
        <w:spacing w:line="480" w:lineRule="auto"/>
        <w:ind w:leftChars="100" w:left="220"/>
        <w:jc w:val="both"/>
        <w:rPr>
          <w:b/>
          <w:sz w:val="28"/>
          <w:szCs w:val="28"/>
          <w:lang w:val="id-ID"/>
        </w:rPr>
      </w:pPr>
      <w:r w:rsidRPr="00266892">
        <w:rPr>
          <w:b/>
          <w:bCs/>
          <w:sz w:val="28"/>
          <w:szCs w:val="28"/>
          <w:lang w:val="id-ID"/>
        </w:rPr>
        <w:lastRenderedPageBreak/>
        <w:t>3.5</w:t>
      </w:r>
      <w:r w:rsidR="00B06F67" w:rsidRPr="00266892">
        <w:rPr>
          <w:b/>
          <w:bCs/>
          <w:sz w:val="28"/>
          <w:szCs w:val="28"/>
          <w:lang w:val="id-ID"/>
        </w:rPr>
        <w:t xml:space="preserve">  Pengolahan Data: </w:t>
      </w:r>
      <w:r w:rsidR="00B06F67" w:rsidRPr="00266892">
        <w:rPr>
          <w:b/>
          <w:sz w:val="28"/>
          <w:szCs w:val="28"/>
          <w:lang w:val="id-ID"/>
        </w:rPr>
        <w:t>Skala Ordinal</w:t>
      </w:r>
    </w:p>
    <w:p w:rsidR="00B06F67" w:rsidRPr="00B06F67" w:rsidRDefault="00B06F67" w:rsidP="00266892">
      <w:pPr>
        <w:widowControl/>
        <w:spacing w:after="160" w:line="480" w:lineRule="auto"/>
        <w:ind w:leftChars="99" w:left="218" w:firstLine="502"/>
        <w:jc w:val="both"/>
        <w:rPr>
          <w:rFonts w:eastAsia="Calibri"/>
          <w:sz w:val="24"/>
          <w:szCs w:val="24"/>
          <w:lang w:val="id-ID" w:eastAsia="zh-CN" w:bidi="ar"/>
        </w:rPr>
      </w:pPr>
      <w:r w:rsidRPr="00B06F67">
        <w:rPr>
          <w:rFonts w:eastAsia="Calibri"/>
          <w:sz w:val="24"/>
          <w:szCs w:val="24"/>
          <w:lang w:val="id-ID" w:eastAsia="zh-CN" w:bidi="ar"/>
        </w:rPr>
        <w:t xml:space="preserve">Skala ordinal ini merupakan skala untuk meruntutkan kategori respon setelah tahap wawancara. Skala ini digunakan untuk mengukur penilaian subjektif. Penilaiannya dengan dua poin skala dan lima poin skala (Willem E Saris). Untuk skala pengukuran di penelitian ini akan menggunakan skala pencapaian target: tidak tercapai, mungkin tercapai, tercapai sebagian, tercapai melampaui target. </w:t>
      </w:r>
    </w:p>
    <w:p w:rsidR="00B06F67" w:rsidRDefault="00B06F67" w:rsidP="00266892">
      <w:pPr>
        <w:widowControl/>
        <w:spacing w:after="160" w:line="480" w:lineRule="auto"/>
        <w:ind w:leftChars="99" w:left="218" w:firstLine="502"/>
        <w:jc w:val="both"/>
        <w:rPr>
          <w:rFonts w:eastAsia="Calibri"/>
          <w:sz w:val="24"/>
          <w:szCs w:val="24"/>
          <w:lang w:val="id-ID" w:eastAsia="zh-CN" w:bidi="ar"/>
        </w:rPr>
      </w:pPr>
      <w:r w:rsidRPr="00B06F67">
        <w:rPr>
          <w:rFonts w:eastAsia="Calibri"/>
          <w:sz w:val="24"/>
          <w:szCs w:val="24"/>
          <w:lang w:val="id-ID" w:eastAsia="zh-CN" w:bidi="ar"/>
        </w:rPr>
        <w:t xml:space="preserve">Untuk pengolahan hasil wawancara, wawancara dilakukan secara langsung dengan empat nara sumber. Sementara sembilan nara sumber lain ditemui dalam acara seminar. Dalam wawancara langsung, nara sumber akan ditanyakan bagaimana dampak </w:t>
      </w:r>
      <w:r w:rsidR="00E879AD">
        <w:rPr>
          <w:rFonts w:eastAsia="Calibri"/>
          <w:sz w:val="24"/>
          <w:szCs w:val="24"/>
          <w:lang w:val="id-ID" w:eastAsia="zh-CN" w:bidi="ar"/>
        </w:rPr>
        <w:t xml:space="preserve">Persetujuan Paris </w:t>
      </w:r>
      <w:r w:rsidRPr="00B06F67">
        <w:rPr>
          <w:rFonts w:eastAsia="Calibri"/>
          <w:sz w:val="24"/>
          <w:szCs w:val="24"/>
          <w:lang w:val="id-ID" w:eastAsia="zh-CN" w:bidi="ar"/>
        </w:rPr>
        <w:t xml:space="preserve">dan penerapannya sejauh ini, apa faktor penghambat pencapaian target, apa solusi agar target tercapai. Sementara paparan nara sumber dalam seminar juga sudah menjawab tiga hal utama yang ditanyakan. </w:t>
      </w:r>
    </w:p>
    <w:p w:rsidR="00266892" w:rsidRPr="00B06F67" w:rsidRDefault="00266892" w:rsidP="00266892">
      <w:pPr>
        <w:widowControl/>
        <w:spacing w:after="160" w:line="480" w:lineRule="auto"/>
        <w:ind w:leftChars="99" w:left="218" w:firstLine="502"/>
        <w:jc w:val="both"/>
        <w:rPr>
          <w:rFonts w:eastAsia="Calibri"/>
          <w:sz w:val="24"/>
          <w:szCs w:val="24"/>
          <w:lang w:val="id-ID" w:eastAsia="zh-CN" w:bidi="ar"/>
        </w:rPr>
      </w:pPr>
      <w:r>
        <w:rPr>
          <w:rFonts w:eastAsia="Calibri"/>
          <w:sz w:val="24"/>
          <w:szCs w:val="24"/>
          <w:lang w:val="id-ID" w:eastAsia="zh-CN" w:bidi="ar"/>
        </w:rPr>
        <w:t xml:space="preserve">Berikut tabel skala ordinal untuk pembobotan hasil wawancara yang sudah dibagi berdasarkan nara sumber yang diwawancarai (Tabel 7): </w:t>
      </w:r>
    </w:p>
    <w:p w:rsidR="00266892" w:rsidRDefault="00266892" w:rsidP="00B06F67">
      <w:pPr>
        <w:widowControl/>
        <w:spacing w:after="160" w:line="480" w:lineRule="auto"/>
        <w:ind w:leftChars="99" w:left="220" w:hanging="2"/>
        <w:jc w:val="both"/>
        <w:rPr>
          <w:rFonts w:eastAsia="Calibri"/>
          <w:b/>
          <w:bCs/>
          <w:sz w:val="24"/>
          <w:szCs w:val="24"/>
          <w:lang w:val="id-ID" w:eastAsia="zh-CN" w:bidi="ar"/>
        </w:rPr>
      </w:pPr>
    </w:p>
    <w:p w:rsidR="00266892" w:rsidRDefault="00266892" w:rsidP="00B06F67">
      <w:pPr>
        <w:widowControl/>
        <w:spacing w:after="160" w:line="480" w:lineRule="auto"/>
        <w:ind w:leftChars="99" w:left="220" w:hanging="2"/>
        <w:jc w:val="both"/>
        <w:rPr>
          <w:rFonts w:eastAsia="Calibri"/>
          <w:b/>
          <w:bCs/>
          <w:sz w:val="24"/>
          <w:szCs w:val="24"/>
          <w:lang w:val="id-ID" w:eastAsia="zh-CN" w:bidi="ar"/>
        </w:rPr>
      </w:pPr>
    </w:p>
    <w:p w:rsidR="00266892" w:rsidRDefault="00266892" w:rsidP="00B06F67">
      <w:pPr>
        <w:widowControl/>
        <w:spacing w:after="160" w:line="480" w:lineRule="auto"/>
        <w:ind w:leftChars="99" w:left="220" w:hanging="2"/>
        <w:jc w:val="both"/>
        <w:rPr>
          <w:rFonts w:eastAsia="Calibri"/>
          <w:b/>
          <w:bCs/>
          <w:sz w:val="24"/>
          <w:szCs w:val="24"/>
          <w:lang w:val="id-ID" w:eastAsia="zh-CN" w:bidi="ar"/>
        </w:rPr>
      </w:pPr>
    </w:p>
    <w:p w:rsidR="00266892" w:rsidRDefault="00266892" w:rsidP="00B06F67">
      <w:pPr>
        <w:widowControl/>
        <w:spacing w:after="160" w:line="480" w:lineRule="auto"/>
        <w:ind w:leftChars="99" w:left="220" w:hanging="2"/>
        <w:jc w:val="both"/>
        <w:rPr>
          <w:rFonts w:eastAsia="Calibri"/>
          <w:b/>
          <w:bCs/>
          <w:sz w:val="24"/>
          <w:szCs w:val="24"/>
          <w:lang w:val="id-ID" w:eastAsia="zh-CN" w:bidi="ar"/>
        </w:rPr>
      </w:pPr>
    </w:p>
    <w:p w:rsidR="00266892" w:rsidRDefault="00266892" w:rsidP="00B06F67">
      <w:pPr>
        <w:widowControl/>
        <w:spacing w:after="160" w:line="480" w:lineRule="auto"/>
        <w:ind w:leftChars="99" w:left="220" w:hanging="2"/>
        <w:jc w:val="both"/>
        <w:rPr>
          <w:rFonts w:eastAsia="Calibri"/>
          <w:b/>
          <w:bCs/>
          <w:sz w:val="24"/>
          <w:szCs w:val="24"/>
          <w:lang w:val="id-ID" w:eastAsia="zh-CN" w:bidi="ar"/>
        </w:rPr>
      </w:pPr>
    </w:p>
    <w:p w:rsidR="00266892" w:rsidRDefault="00266892" w:rsidP="00B06F67">
      <w:pPr>
        <w:widowControl/>
        <w:spacing w:after="160" w:line="480" w:lineRule="auto"/>
        <w:ind w:leftChars="99" w:left="220" w:hanging="2"/>
        <w:jc w:val="both"/>
        <w:rPr>
          <w:rFonts w:eastAsia="Calibri"/>
          <w:b/>
          <w:bCs/>
          <w:sz w:val="24"/>
          <w:szCs w:val="24"/>
          <w:lang w:val="id-ID" w:eastAsia="zh-CN" w:bidi="ar"/>
        </w:rPr>
      </w:pPr>
    </w:p>
    <w:p w:rsidR="00B06F67" w:rsidRPr="00B06F67" w:rsidRDefault="00B06F67" w:rsidP="00B06F67">
      <w:pPr>
        <w:widowControl/>
        <w:spacing w:after="160" w:line="480" w:lineRule="auto"/>
        <w:ind w:leftChars="99" w:left="220" w:hanging="2"/>
        <w:jc w:val="both"/>
        <w:rPr>
          <w:rFonts w:eastAsia="Calibri"/>
          <w:b/>
          <w:bCs/>
          <w:sz w:val="24"/>
          <w:szCs w:val="24"/>
          <w:lang w:val="id-ID" w:eastAsia="zh-CN" w:bidi="ar"/>
        </w:rPr>
      </w:pPr>
      <w:r w:rsidRPr="00B06F67">
        <w:rPr>
          <w:rFonts w:eastAsia="Calibri"/>
          <w:b/>
          <w:bCs/>
          <w:sz w:val="24"/>
          <w:szCs w:val="24"/>
          <w:lang w:val="id-ID" w:eastAsia="zh-CN" w:bidi="ar"/>
        </w:rPr>
        <w:lastRenderedPageBreak/>
        <w:t>Tabel 7. Skala Ordinal pembobotan hasil wawancara per nara sumber</w:t>
      </w:r>
    </w:p>
    <w:tbl>
      <w:tblPr>
        <w:tblW w:w="7793" w:type="dxa"/>
        <w:tblLook w:val="04A0" w:firstRow="1" w:lastRow="0" w:firstColumn="1" w:lastColumn="0" w:noHBand="0" w:noVBand="1"/>
      </w:tblPr>
      <w:tblGrid>
        <w:gridCol w:w="3828"/>
        <w:gridCol w:w="484"/>
        <w:gridCol w:w="490"/>
        <w:gridCol w:w="271"/>
        <w:gridCol w:w="1755"/>
        <w:gridCol w:w="485"/>
        <w:gridCol w:w="485"/>
      </w:tblGrid>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Gita Lestari ESDM</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i/>
                <w:iCs/>
                <w:color w:val="000000"/>
                <w:lang w:val="en-ID" w:eastAsia="en-ID" w:bidi="ar-SA"/>
              </w:rPr>
            </w:pPr>
            <w:r w:rsidRPr="00266892">
              <w:rPr>
                <w:i/>
                <w:iCs/>
                <w:color w:val="000000"/>
                <w:lang w:val="en-ID" w:eastAsia="en-ID" w:bidi="ar-SA"/>
              </w:rPr>
              <w:t xml:space="preserve">Siap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 xml:space="preserve">Siap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60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40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Regulasi sudah lengkap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25</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investasi dan pelibatan sektor swasta</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Ada progres pembangunan EBT</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15</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aturan yang mengganggu investasi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Ada kestabilan ekonomi</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pajak dan insentif</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kerja sama dengan lembaga akademik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i/>
                <w:iCs/>
                <w:color w:val="000000"/>
                <w:lang w:val="en-ID" w:eastAsia="en-ID" w:bidi="ar-SA"/>
              </w:rPr>
            </w:pPr>
            <w:r w:rsidRPr="00266892">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1. Deregulasi peraturan yang menghambat investasi EBT</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2. Pertimbangan pemberian insentif untuk swasta, atau insentif yang tepat sasaran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3. Menciptakan pasar karbon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4. Pelibatan swasta untuk menurunkan emisi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5. Kerja sama semua kementerian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6. Pelibatan kerja sama dengan lembaga akademik</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7. Mendorong partisipasi masyarakat misal dengan membeli produk hemat energi</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Emma Rachmawati KLHK</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i/>
                <w:iCs/>
                <w:color w:val="000000"/>
                <w:lang w:val="en-ID" w:eastAsia="en-ID" w:bidi="ar-SA"/>
              </w:rPr>
            </w:pPr>
            <w:r w:rsidRPr="00266892">
              <w:rPr>
                <w:i/>
                <w:iCs/>
                <w:color w:val="000000"/>
                <w:lang w:val="en-ID" w:eastAsia="en-ID" w:bidi="ar-SA"/>
              </w:rPr>
              <w:t>Siap atau tidak indonesia mencapai RAN GRK dan NDC?</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B06F67">
            <w:pPr>
              <w:widowControl/>
              <w:autoSpaceDE/>
              <w:autoSpaceDN/>
              <w:spacing w:line="480" w:lineRule="auto"/>
              <w:rPr>
                <w:b/>
                <w:bCs/>
                <w:color w:val="000000"/>
                <w:lang w:val="en-ID" w:eastAsia="en-ID" w:bidi="ar-SA"/>
              </w:rPr>
            </w:pPr>
            <w:r w:rsidRPr="00266892">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b/>
                <w:bCs/>
                <w:color w:val="000000"/>
                <w:lang w:val="en-ID" w:eastAsia="en-ID" w:bidi="ar-SA"/>
              </w:rPr>
            </w:pPr>
            <w:r w:rsidRPr="00266892">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b/>
                <w:bCs/>
                <w:color w:val="000000"/>
                <w:lang w:val="en-ID" w:eastAsia="en-ID" w:bidi="ar-SA"/>
              </w:rPr>
            </w:pPr>
            <w:r w:rsidRPr="00266892">
              <w:rPr>
                <w:b/>
                <w:bCs/>
                <w:color w:val="000000"/>
                <w:lang w:val="en-ID" w:eastAsia="en-ID" w:bidi="ar-SA"/>
              </w:rPr>
              <w:t>60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rPr>
                <w:b/>
                <w:bCs/>
                <w:color w:val="000000"/>
                <w:lang w:val="en-ID" w:eastAsia="en-ID" w:bidi="ar-SA"/>
              </w:rPr>
            </w:pPr>
            <w:r w:rsidRPr="00266892">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40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B06F67">
            <w:pPr>
              <w:widowControl/>
              <w:autoSpaceDE/>
              <w:autoSpaceDN/>
              <w:spacing w:line="480" w:lineRule="auto"/>
              <w:rPr>
                <w:color w:val="000000"/>
                <w:lang w:val="en-ID" w:eastAsia="en-ID" w:bidi="ar-SA"/>
              </w:rPr>
            </w:pPr>
            <w:r w:rsidRPr="00266892">
              <w:rPr>
                <w:color w:val="000000"/>
                <w:lang w:val="en-ID" w:eastAsia="en-ID" w:bidi="ar-SA"/>
              </w:rPr>
              <w:t>Ada komitmen semua stakeholder</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harga listrik EBT kalah dari PLTB</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B06F67">
            <w:pPr>
              <w:widowControl/>
              <w:autoSpaceDE/>
              <w:autoSpaceDN/>
              <w:spacing w:line="480" w:lineRule="auto"/>
              <w:rPr>
                <w:color w:val="000000"/>
                <w:lang w:val="en-ID" w:eastAsia="en-ID" w:bidi="ar-SA"/>
              </w:rPr>
            </w:pPr>
            <w:r w:rsidRPr="00266892">
              <w:rPr>
                <w:color w:val="000000"/>
                <w:lang w:val="en-ID" w:eastAsia="en-ID" w:bidi="ar-SA"/>
              </w:rPr>
              <w:t>Ada upaya kurangi subsidi BBM</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Melibatkan investasi swasta</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B06F67">
            <w:pPr>
              <w:widowControl/>
              <w:autoSpaceDE/>
              <w:autoSpaceDN/>
              <w:spacing w:line="480" w:lineRule="auto"/>
              <w:rPr>
                <w:color w:val="000000"/>
                <w:lang w:val="en-ID" w:eastAsia="en-ID" w:bidi="ar-SA"/>
              </w:rPr>
            </w:pPr>
            <w:r w:rsidRPr="00266892">
              <w:rPr>
                <w:color w:val="000000"/>
                <w:lang w:val="en-ID" w:eastAsia="en-ID" w:bidi="ar-SA"/>
              </w:rPr>
              <w:t>Regulasi EBT sudah lengkap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B06F67">
            <w:pPr>
              <w:widowControl/>
              <w:autoSpaceDE/>
              <w:autoSpaceDN/>
              <w:spacing w:line="480" w:lineRule="auto"/>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xml:space="preserve">Implementasi regulasi EBT belum, misal konservasi energi green building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i/>
                <w:iCs/>
                <w:color w:val="000000"/>
                <w:lang w:val="en-ID" w:eastAsia="en-ID" w:bidi="ar-SA"/>
              </w:rPr>
            </w:pPr>
            <w:r w:rsidRPr="00266892">
              <w:rPr>
                <w:i/>
                <w:iCs/>
                <w:color w:val="000000"/>
                <w:lang w:val="en-ID" w:eastAsia="en-ID" w:bidi="ar-SA"/>
              </w:rPr>
              <w:t>Solusi</w:t>
            </w:r>
          </w:p>
        </w:tc>
      </w:tr>
      <w:tr w:rsidR="00B06F67" w:rsidRPr="00B06F67" w:rsidTr="00ED1909">
        <w:trPr>
          <w:trHeight w:val="559"/>
        </w:trPr>
        <w:tc>
          <w:tcPr>
            <w:tcW w:w="779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xml:space="preserve">1. Pemerintah bentuk </w:t>
            </w:r>
            <w:r w:rsidR="00266892" w:rsidRPr="00266892">
              <w:rPr>
                <w:color w:val="000000"/>
                <w:lang w:val="id-ID" w:eastAsia="en-ID" w:bidi="ar-SA"/>
              </w:rPr>
              <w:t>Badan Layanan Umum (</w:t>
            </w:r>
            <w:r w:rsidRPr="00266892">
              <w:rPr>
                <w:color w:val="000000"/>
                <w:lang w:val="en-ID" w:eastAsia="en-ID" w:bidi="ar-SA"/>
              </w:rPr>
              <w:t>BLU</w:t>
            </w:r>
            <w:r w:rsidR="00266892" w:rsidRPr="00266892">
              <w:rPr>
                <w:color w:val="000000"/>
                <w:lang w:val="id-ID" w:eastAsia="en-ID" w:bidi="ar-SA"/>
              </w:rPr>
              <w:t>)</w:t>
            </w:r>
            <w:r w:rsidRPr="00266892">
              <w:rPr>
                <w:color w:val="000000"/>
                <w:lang w:val="en-ID" w:eastAsia="en-ID" w:bidi="ar-SA"/>
              </w:rPr>
              <w:t xml:space="preserve"> untuk tampung dana hibah pendanaan EBT karena Indonesia masuk G20</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2.</w:t>
            </w:r>
            <w:r w:rsidRPr="00266892">
              <w:rPr>
                <w:i/>
                <w:color w:val="000000"/>
                <w:lang w:val="en-ID" w:eastAsia="en-ID" w:bidi="ar-SA"/>
              </w:rPr>
              <w:t xml:space="preserve"> Measurement</w:t>
            </w:r>
            <w:r w:rsidRPr="00266892">
              <w:rPr>
                <w:color w:val="000000"/>
                <w:lang w:val="en-ID" w:eastAsia="en-ID" w:bidi="ar-SA"/>
              </w:rPr>
              <w:t xml:space="preserve"> pengukuran penuruna</w:t>
            </w:r>
            <w:r w:rsidR="00266892" w:rsidRPr="00266892">
              <w:rPr>
                <w:color w:val="000000"/>
                <w:lang w:val="en-ID" w:eastAsia="en-ID" w:bidi="ar-SA"/>
              </w:rPr>
              <w:t>n emisi dengan sistem</w:t>
            </w:r>
            <w:r w:rsidRPr="00266892">
              <w:rPr>
                <w:color w:val="000000"/>
                <w:lang w:val="en-ID" w:eastAsia="en-ID" w:bidi="ar-SA"/>
              </w:rPr>
              <w:t xml:space="preserve"> registrasi nasional (SRN)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3. Insentif buat swasta jika menurunkan emisi GRK</w:t>
            </w:r>
          </w:p>
        </w:tc>
      </w:tr>
      <w:tr w:rsidR="00B06F67" w:rsidRPr="00B06F67" w:rsidTr="00ED1909">
        <w:trPr>
          <w:trHeight w:val="559"/>
        </w:trPr>
        <w:tc>
          <w:tcPr>
            <w:tcW w:w="779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id-ID" w:eastAsia="en-ID" w:bidi="ar-SA"/>
              </w:rPr>
            </w:pPr>
            <w:r w:rsidRPr="00266892">
              <w:rPr>
                <w:color w:val="000000"/>
                <w:lang w:val="en-ID" w:eastAsia="en-ID" w:bidi="ar-SA"/>
              </w:rPr>
              <w:lastRenderedPageBreak/>
              <w:t xml:space="preserve">4. Perhitungan yang adil soal mekanisme carbon trading dalam skema </w:t>
            </w:r>
            <w:r w:rsidR="00266892" w:rsidRPr="00266892">
              <w:rPr>
                <w:color w:val="000000"/>
                <w:lang w:val="id-ID" w:eastAsia="en-ID" w:bidi="ar-SA"/>
              </w:rPr>
              <w:t>Persetujuan Paris</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Haris ESDM</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i/>
                <w:iCs/>
                <w:color w:val="000000"/>
                <w:lang w:val="en-ID" w:eastAsia="en-ID" w:bidi="ar-SA"/>
              </w:rPr>
            </w:pPr>
            <w:r w:rsidRPr="00266892">
              <w:rPr>
                <w:i/>
                <w:iCs/>
                <w:color w:val="000000"/>
                <w:lang w:val="en-ID" w:eastAsia="en-ID" w:bidi="ar-SA"/>
              </w:rPr>
              <w:t>Siap atau tidak indonesia mencapai RAN GRK dan NDC?</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45</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b/>
                <w:bCs/>
                <w:color w:val="000000"/>
                <w:sz w:val="24"/>
                <w:szCs w:val="24"/>
                <w:lang w:val="en-ID" w:eastAsia="en-ID" w:bidi="ar-SA"/>
              </w:rPr>
            </w:pPr>
            <w:r w:rsidRPr="00B06F67">
              <w:rPr>
                <w:b/>
                <w:bCs/>
                <w:color w:val="000000"/>
                <w:sz w:val="24"/>
                <w:szCs w:val="24"/>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b/>
                <w:bCs/>
                <w:color w:val="000000"/>
                <w:sz w:val="24"/>
                <w:szCs w:val="24"/>
                <w:lang w:val="en-ID" w:eastAsia="en-ID" w:bidi="ar-SA"/>
              </w:rPr>
            </w:pPr>
            <w:r w:rsidRPr="00B06F67">
              <w:rPr>
                <w:b/>
                <w:bCs/>
                <w:color w:val="000000"/>
                <w:sz w:val="24"/>
                <w:szCs w:val="24"/>
                <w:lang w:val="en-ID" w:eastAsia="en-ID" w:bidi="ar-SA"/>
              </w:rPr>
              <w:t>55</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Ada regulasi untuk EBT</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15</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Target penurunan emisi terlalu tinggi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xml:space="preserve">Ada aturan harga EBT berupa BPP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15</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Bank melihat risiko investasi EBT tinggi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Ada upaya menuju konservasi energi</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15</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xml:space="preserve">Kebijakan dana murah, investasi swasta,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B06F67" w:rsidRDefault="00B06F67" w:rsidP="00266892">
            <w:pPr>
              <w:widowControl/>
              <w:autoSpaceDE/>
              <w:autoSpaceDN/>
              <w:rPr>
                <w:color w:val="000000"/>
                <w:sz w:val="24"/>
                <w:szCs w:val="24"/>
                <w:lang w:val="en-ID" w:eastAsia="en-ID" w:bidi="ar-SA"/>
              </w:rPr>
            </w:pPr>
            <w:r w:rsidRPr="00B06F67">
              <w:rPr>
                <w:color w:val="000000"/>
                <w:sz w:val="24"/>
                <w:szCs w:val="24"/>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insentif, harga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266892">
            <w:pPr>
              <w:widowControl/>
              <w:autoSpaceDE/>
              <w:autoSpaceDN/>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1. Dana murah untuk swasta mengembangkan EBT</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2. Ada insentif, keringanan perpajakan bagi IPP dan regulasi percepatan elektrifikasi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3. Utamakan pengembangan panas bumi, hidro, angin</w:t>
            </w:r>
          </w:p>
        </w:tc>
      </w:tr>
      <w:tr w:rsidR="00B06F67" w:rsidRPr="00B06F67" w:rsidTr="00ED1909">
        <w:trPr>
          <w:trHeight w:val="559"/>
        </w:trPr>
        <w:tc>
          <w:tcPr>
            <w:tcW w:w="779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4. Negosiasi yang lebih baik dengan PLN agar listrik IPP EBT bisa diterima dan sama sama untung</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5. Regulasi mengenai energi surya perkotaan</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Munir Ahmad ESDM</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6F67" w:rsidRPr="00266892" w:rsidRDefault="00B06F67" w:rsidP="00266892">
            <w:pPr>
              <w:widowControl/>
              <w:autoSpaceDE/>
              <w:autoSpaceDN/>
              <w:rPr>
                <w:i/>
                <w:iCs/>
                <w:color w:val="000000"/>
                <w:lang w:val="en-ID" w:eastAsia="en-ID" w:bidi="ar-SA"/>
              </w:rPr>
            </w:pPr>
            <w:r w:rsidRPr="00266892">
              <w:rPr>
                <w:i/>
                <w:iCs/>
                <w:color w:val="000000"/>
                <w:lang w:val="en-ID" w:eastAsia="en-ID" w:bidi="ar-SA"/>
              </w:rPr>
              <w:t xml:space="preserve">Siap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80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b/>
                <w:bCs/>
                <w:color w:val="000000"/>
                <w:lang w:val="en-ID" w:eastAsia="en-ID" w:bidi="ar-SA"/>
              </w:rPr>
            </w:pPr>
            <w:r w:rsidRPr="00266892">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b/>
                <w:bCs/>
                <w:color w:val="000000"/>
                <w:lang w:val="en-ID" w:eastAsia="en-ID" w:bidi="ar-SA"/>
              </w:rPr>
            </w:pPr>
            <w:r w:rsidRPr="00266892">
              <w:rPr>
                <w:b/>
                <w:bCs/>
                <w:color w:val="000000"/>
                <w:lang w:val="en-ID" w:eastAsia="en-ID" w:bidi="ar-SA"/>
              </w:rPr>
              <w:t>20</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Ada kebijakan pengembangan EBT dalam draft RUKN 2015-2034</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Dominasi Batubara hingga 2027</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Ada target bauran energi EBT</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Ada komitmen nasional</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12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266892">
            <w:pPr>
              <w:widowControl/>
              <w:autoSpaceDE/>
              <w:autoSpaceDN/>
              <w:rPr>
                <w:color w:val="000000"/>
                <w:lang w:val="id-ID" w:eastAsia="en-ID" w:bidi="ar-SA"/>
              </w:rPr>
            </w:pPr>
            <w:r w:rsidRPr="00266892">
              <w:rPr>
                <w:color w:val="000000"/>
                <w:lang w:val="en-ID" w:eastAsia="en-ID" w:bidi="ar-SA"/>
              </w:rPr>
              <w:t xml:space="preserve">Dirintis inventarisasi dan mitigasi  untuk subsektor ketenagalistrikan gunakan </w:t>
            </w:r>
            <w:r w:rsidR="009C4C2E">
              <w:rPr>
                <w:color w:val="000000"/>
                <w:lang w:val="id-ID" w:eastAsia="en-ID" w:bidi="ar-SA"/>
              </w:rPr>
              <w:t>measurement, reporting, verification (</w:t>
            </w:r>
            <w:r w:rsidRPr="00266892">
              <w:rPr>
                <w:color w:val="000000"/>
                <w:lang w:val="en-ID" w:eastAsia="en-ID" w:bidi="ar-SA"/>
              </w:rPr>
              <w:t>MRV</w:t>
            </w:r>
            <w:r w:rsidR="009C4C2E">
              <w:rPr>
                <w:color w:val="000000"/>
                <w:lang w:val="id-ID" w:eastAsia="en-ID" w:bidi="ar-SA"/>
              </w:rPr>
              <w:t>)</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jc w:val="center"/>
              <w:rPr>
                <w:color w:val="000000"/>
                <w:lang w:val="en-ID" w:eastAsia="en-ID" w:bidi="ar-SA"/>
              </w:rPr>
            </w:pPr>
            <w:r w:rsidRPr="00266892">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i/>
                <w:iCs/>
                <w:color w:val="000000"/>
                <w:lang w:val="en-ID" w:eastAsia="en-ID" w:bidi="ar-SA"/>
              </w:rPr>
            </w:pPr>
            <w:r w:rsidRPr="00266892">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1. Harus ada pelaporan atau inventarisasi emisi GRK pembangkit tenaga listrik</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2. Pengembangan pasar karbon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3. Harus ada mitigasi subsektor keenagalistrikan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4. Ada regulasi pasar karbon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266892" w:rsidRDefault="00B06F67" w:rsidP="00266892">
            <w:pPr>
              <w:widowControl/>
              <w:autoSpaceDE/>
              <w:autoSpaceDN/>
              <w:rPr>
                <w:color w:val="000000"/>
                <w:lang w:val="en-ID" w:eastAsia="en-ID" w:bidi="ar-SA"/>
              </w:rPr>
            </w:pPr>
            <w:r w:rsidRPr="00266892">
              <w:rPr>
                <w:color w:val="000000"/>
                <w:lang w:val="en-ID" w:eastAsia="en-ID" w:bidi="ar-SA"/>
              </w:rPr>
              <w:t>5. Harus ada UU dan PP untuk menunjang mekanisme</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Purnomo Yusgiantoro</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 xml:space="preserve">Siap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30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70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Sudah ada regulasi</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Feed in tariff diubah jadi BPP</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pergeseran ke ron 91</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inkonsistensi regulasi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inkonsistensi harga EBT karena ada pengaruh politik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Solusi</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id-ID" w:eastAsia="en-ID" w:bidi="ar-SA"/>
              </w:rPr>
            </w:pPr>
            <w:r w:rsidRPr="009C4C2E">
              <w:rPr>
                <w:color w:val="000000"/>
                <w:lang w:val="en-ID" w:eastAsia="en-ID" w:bidi="ar-SA"/>
              </w:rPr>
              <w:t>1. Petroleum fund atau dana ketahanan energi dalam UU Mi</w:t>
            </w:r>
            <w:r w:rsidR="009C4C2E">
              <w:rPr>
                <w:color w:val="000000"/>
                <w:lang w:val="id-ID" w:eastAsia="en-ID" w:bidi="ar-SA"/>
              </w:rPr>
              <w:t>nyak dan G</w:t>
            </w:r>
            <w:r w:rsidRPr="009C4C2E">
              <w:rPr>
                <w:color w:val="000000"/>
                <w:lang w:val="en-ID" w:eastAsia="en-ID" w:bidi="ar-SA"/>
              </w:rPr>
              <w:t>as</w:t>
            </w:r>
            <w:r w:rsidR="009C4C2E">
              <w:rPr>
                <w:color w:val="000000"/>
                <w:lang w:val="id-ID" w:eastAsia="en-ID" w:bidi="ar-SA"/>
              </w:rPr>
              <w:t xml:space="preserve"> (Migas)</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2. Komunikasi person to person</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3. Kebijakan pemerintah untuk temukan cadangan minyak baru untuk kurangi impor</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9C4C2E">
        <w:trPr>
          <w:trHeight w:val="300"/>
        </w:trPr>
        <w:tc>
          <w:tcPr>
            <w:tcW w:w="3828" w:type="dxa"/>
            <w:tcBorders>
              <w:top w:val="nil"/>
              <w:left w:val="nil"/>
              <w:bottom w:val="nil"/>
              <w:right w:val="nil"/>
            </w:tcBorders>
            <w:shd w:val="clear" w:color="auto" w:fill="auto"/>
            <w:vAlign w:val="bottom"/>
          </w:tcPr>
          <w:p w:rsidR="00B06F67" w:rsidRPr="00B06F67" w:rsidRDefault="00B06F67" w:rsidP="00B06F67">
            <w:pPr>
              <w:widowControl/>
              <w:autoSpaceDE/>
              <w:autoSpaceDN/>
              <w:spacing w:line="480" w:lineRule="auto"/>
              <w:jc w:val="center"/>
              <w:rPr>
                <w:color w:val="000000"/>
                <w:sz w:val="24"/>
                <w:szCs w:val="24"/>
                <w:lang w:val="en-ID" w:eastAsia="en-ID" w:bidi="ar-SA"/>
              </w:rPr>
            </w:pPr>
          </w:p>
        </w:tc>
        <w:tc>
          <w:tcPr>
            <w:tcW w:w="484" w:type="dxa"/>
            <w:tcBorders>
              <w:top w:val="nil"/>
              <w:left w:val="nil"/>
              <w:bottom w:val="nil"/>
              <w:right w:val="nil"/>
            </w:tcBorders>
            <w:shd w:val="clear" w:color="auto" w:fill="auto"/>
            <w:noWrap/>
            <w:vAlign w:val="bottom"/>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Sudirman Said</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 xml:space="preserve">Siap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40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60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sudah ada RUEN, RUED, KEN</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40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ekosistem EBT belum terbentuk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policy investasi signal dari pemerintah</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hambatan tarif EBT dan pembangkit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inkonsistensi policy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teknologi EBT mahal</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infrastruktur energi dibangunnya lama</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1. Harus dimulai dari sekarang untuk pembangunan ekosistem EBT</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2. Insentif pembangkit EBT</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3. Penyamaan persepsi para stakeholders</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4. Pembenahan BUMN energi yakni PLN dan pertamina</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4802" w:type="dxa"/>
            <w:gridSpan w:val="3"/>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 xml:space="preserve">Dicky  Hindarto Kemenko Perekonomian </w:t>
            </w: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 xml:space="preserve">Siap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Bisa</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30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70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regulasi sudah banyak dan benar</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30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kepentingan sesaat karena ada politik sewaktu</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biaya EBT mahal</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masalah di eksekusi aturan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belum ada perhitungan penurunan emisi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1. Ad</w:t>
            </w:r>
            <w:r w:rsidR="00BC06E3">
              <w:rPr>
                <w:color w:val="000000"/>
                <w:lang w:val="en-ID" w:eastAsia="en-ID" w:bidi="ar-SA"/>
              </w:rPr>
              <w:t>a perhitungan penurunan emisi yang</w:t>
            </w:r>
            <w:r w:rsidRPr="009C4C2E">
              <w:rPr>
                <w:color w:val="000000"/>
                <w:lang w:val="en-ID" w:eastAsia="en-ID" w:bidi="ar-SA"/>
              </w:rPr>
              <w:t xml:space="preserve"> tepat</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2. Priorotas penurunan emisi di mana dan bagaimana mengukurnya</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3. Regulasi karbon pricing</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4. Semua stakeholder terlibat, tidak hanya pemerintah</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5. Penyiapan pembiayaan EBT</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9C4C2E" w:rsidRDefault="00B06F67" w:rsidP="009C4C2E">
            <w:pPr>
              <w:widowControl/>
              <w:autoSpaceDE/>
              <w:autoSpaceDN/>
              <w:rPr>
                <w:color w:val="000000"/>
                <w:lang w:val="en-ID" w:eastAsia="en-ID" w:bidi="ar-SA"/>
              </w:rPr>
            </w:pPr>
          </w:p>
        </w:tc>
        <w:tc>
          <w:tcPr>
            <w:tcW w:w="484" w:type="dxa"/>
            <w:tcBorders>
              <w:top w:val="nil"/>
              <w:left w:val="nil"/>
              <w:bottom w:val="nil"/>
              <w:right w:val="nil"/>
            </w:tcBorders>
            <w:shd w:val="clear" w:color="auto" w:fill="auto"/>
            <w:noWrap/>
            <w:vAlign w:val="bottom"/>
            <w:hideMark/>
          </w:tcPr>
          <w:p w:rsidR="00B06F67" w:rsidRPr="009C4C2E" w:rsidRDefault="00B06F67" w:rsidP="009C4C2E">
            <w:pPr>
              <w:widowControl/>
              <w:autoSpaceDE/>
              <w:autoSpaceDN/>
              <w:rPr>
                <w:lang w:val="en-ID" w:eastAsia="en-ID" w:bidi="ar-SA"/>
              </w:rPr>
            </w:pPr>
          </w:p>
        </w:tc>
        <w:tc>
          <w:tcPr>
            <w:tcW w:w="490" w:type="dxa"/>
            <w:tcBorders>
              <w:top w:val="nil"/>
              <w:left w:val="nil"/>
              <w:bottom w:val="nil"/>
              <w:right w:val="nil"/>
            </w:tcBorders>
            <w:shd w:val="clear" w:color="auto" w:fill="auto"/>
            <w:noWrap/>
            <w:vAlign w:val="bottom"/>
            <w:hideMark/>
          </w:tcPr>
          <w:p w:rsidR="00B06F67" w:rsidRPr="009C4C2E" w:rsidRDefault="00B06F67" w:rsidP="009C4C2E">
            <w:pPr>
              <w:widowControl/>
              <w:autoSpaceDE/>
              <w:autoSpaceDN/>
              <w:jc w:val="center"/>
              <w:rPr>
                <w:lang w:val="en-ID" w:eastAsia="en-ID" w:bidi="ar-SA"/>
              </w:rPr>
            </w:pPr>
          </w:p>
        </w:tc>
        <w:tc>
          <w:tcPr>
            <w:tcW w:w="266" w:type="dxa"/>
            <w:tcBorders>
              <w:top w:val="nil"/>
              <w:left w:val="nil"/>
              <w:bottom w:val="nil"/>
              <w:right w:val="nil"/>
            </w:tcBorders>
            <w:shd w:val="clear" w:color="auto" w:fill="auto"/>
            <w:noWrap/>
            <w:vAlign w:val="bottom"/>
            <w:hideMark/>
          </w:tcPr>
          <w:p w:rsidR="00B06F67" w:rsidRPr="009C4C2E" w:rsidRDefault="00B06F67" w:rsidP="009C4C2E">
            <w:pPr>
              <w:widowControl/>
              <w:autoSpaceDE/>
              <w:autoSpaceDN/>
              <w:jc w:val="center"/>
              <w:rPr>
                <w:lang w:val="en-ID" w:eastAsia="en-ID" w:bidi="ar-SA"/>
              </w:rPr>
            </w:pPr>
          </w:p>
        </w:tc>
        <w:tc>
          <w:tcPr>
            <w:tcW w:w="1755" w:type="dxa"/>
            <w:tcBorders>
              <w:top w:val="nil"/>
              <w:left w:val="nil"/>
              <w:bottom w:val="nil"/>
              <w:right w:val="nil"/>
            </w:tcBorders>
            <w:shd w:val="clear" w:color="auto" w:fill="auto"/>
            <w:vAlign w:val="bottom"/>
            <w:hideMark/>
          </w:tcPr>
          <w:p w:rsidR="00B06F67" w:rsidRPr="009C4C2E" w:rsidRDefault="00B06F67" w:rsidP="009C4C2E">
            <w:pPr>
              <w:widowControl/>
              <w:autoSpaceDE/>
              <w:autoSpaceDN/>
              <w:rPr>
                <w:lang w:val="en-ID" w:eastAsia="en-ID" w:bidi="ar-SA"/>
              </w:rPr>
            </w:pPr>
          </w:p>
        </w:tc>
        <w:tc>
          <w:tcPr>
            <w:tcW w:w="485" w:type="dxa"/>
            <w:tcBorders>
              <w:top w:val="nil"/>
              <w:left w:val="nil"/>
              <w:bottom w:val="nil"/>
              <w:right w:val="nil"/>
            </w:tcBorders>
            <w:shd w:val="clear" w:color="auto" w:fill="auto"/>
            <w:noWrap/>
            <w:vAlign w:val="bottom"/>
            <w:hideMark/>
          </w:tcPr>
          <w:p w:rsidR="00B06F67" w:rsidRPr="009C4C2E" w:rsidRDefault="00B06F67" w:rsidP="009C4C2E">
            <w:pPr>
              <w:widowControl/>
              <w:autoSpaceDE/>
              <w:autoSpaceDN/>
              <w:rPr>
                <w:lang w:val="en-ID" w:eastAsia="en-ID" w:bidi="ar-SA"/>
              </w:rPr>
            </w:pPr>
          </w:p>
        </w:tc>
        <w:tc>
          <w:tcPr>
            <w:tcW w:w="485" w:type="dxa"/>
            <w:tcBorders>
              <w:top w:val="nil"/>
              <w:left w:val="nil"/>
              <w:bottom w:val="nil"/>
              <w:right w:val="nil"/>
            </w:tcBorders>
            <w:shd w:val="clear" w:color="auto" w:fill="auto"/>
            <w:noWrap/>
            <w:vAlign w:val="bottom"/>
            <w:hideMark/>
          </w:tcPr>
          <w:p w:rsidR="00B06F67" w:rsidRPr="009C4C2E" w:rsidRDefault="00B06F67" w:rsidP="009C4C2E">
            <w:pPr>
              <w:widowControl/>
              <w:autoSpaceDE/>
              <w:autoSpaceDN/>
              <w:jc w:val="center"/>
              <w:rPr>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Emma Sri SMI</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 xml:space="preserve">Siap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55</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b/>
                <w:bCs/>
                <w:color w:val="000000"/>
                <w:lang w:val="en-ID" w:eastAsia="en-ID" w:bidi="ar-SA"/>
              </w:rPr>
            </w:pPr>
            <w:r w:rsidRPr="009C4C2E">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b/>
                <w:bCs/>
                <w:color w:val="000000"/>
                <w:lang w:val="en-ID" w:eastAsia="en-ID" w:bidi="ar-SA"/>
              </w:rPr>
            </w:pPr>
            <w:r w:rsidRPr="009C4C2E">
              <w:rPr>
                <w:b/>
                <w:bCs/>
                <w:color w:val="000000"/>
                <w:lang w:val="en-ID" w:eastAsia="en-ID" w:bidi="ar-SA"/>
              </w:rPr>
              <w:t>45</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Ada skema pembiayaan pembangkit EBT skala kecil</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25</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Perlu F</w:t>
            </w:r>
            <w:r w:rsidR="00BC06E3">
              <w:rPr>
                <w:color w:val="000000"/>
                <w:lang w:val="id-ID" w:eastAsia="en-ID" w:bidi="ar-SA"/>
              </w:rPr>
              <w:t xml:space="preserve">easibility </w:t>
            </w:r>
            <w:r w:rsidRPr="009C4C2E">
              <w:rPr>
                <w:color w:val="000000"/>
                <w:lang w:val="en-ID" w:eastAsia="en-ID" w:bidi="ar-SA"/>
              </w:rPr>
              <w:t>S</w:t>
            </w:r>
            <w:r w:rsidR="00BC06E3">
              <w:rPr>
                <w:color w:val="000000"/>
                <w:lang w:val="id-ID" w:eastAsia="en-ID" w:bidi="ar-SA"/>
              </w:rPr>
              <w:t>tudy</w:t>
            </w:r>
            <w:r w:rsidRPr="009C4C2E">
              <w:rPr>
                <w:color w:val="000000"/>
                <w:lang w:val="en-ID" w:eastAsia="en-ID" w:bidi="ar-SA"/>
              </w:rPr>
              <w:t xml:space="preserve"> yang baik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Ada dana negara donor</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30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harus ada sosialisasi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perubahan peraturan berlangsung cepat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transparansi dan studi komprehensif</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jc w:val="center"/>
              <w:rPr>
                <w:color w:val="000000"/>
                <w:lang w:val="en-ID" w:eastAsia="en-ID" w:bidi="ar-SA"/>
              </w:rPr>
            </w:pPr>
            <w:r w:rsidRPr="009C4C2E">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i/>
                <w:iCs/>
                <w:color w:val="000000"/>
                <w:lang w:val="en-ID" w:eastAsia="en-ID" w:bidi="ar-SA"/>
              </w:rPr>
            </w:pPr>
            <w:r w:rsidRPr="009C4C2E">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BC06E3" w:rsidRDefault="00B06F67" w:rsidP="009C4C2E">
            <w:pPr>
              <w:widowControl/>
              <w:autoSpaceDE/>
              <w:autoSpaceDN/>
              <w:rPr>
                <w:color w:val="000000"/>
                <w:lang w:val="id-ID" w:eastAsia="en-ID" w:bidi="ar-SA"/>
              </w:rPr>
            </w:pPr>
            <w:r w:rsidRPr="009C4C2E">
              <w:rPr>
                <w:color w:val="000000"/>
                <w:lang w:val="en-ID" w:eastAsia="en-ID" w:bidi="ar-SA"/>
              </w:rPr>
              <w:t>1. Harus ada studi komprehensif dan keterbukaan untuk menunjang F</w:t>
            </w:r>
            <w:r w:rsidR="00BC06E3">
              <w:rPr>
                <w:color w:val="000000"/>
                <w:lang w:val="id-ID" w:eastAsia="en-ID" w:bidi="ar-SA"/>
              </w:rPr>
              <w:t xml:space="preserve">easibility </w:t>
            </w:r>
            <w:r w:rsidRPr="009C4C2E">
              <w:rPr>
                <w:color w:val="000000"/>
                <w:lang w:val="en-ID" w:eastAsia="en-ID" w:bidi="ar-SA"/>
              </w:rPr>
              <w:t>S</w:t>
            </w:r>
            <w:r w:rsidR="00BC06E3">
              <w:rPr>
                <w:color w:val="000000"/>
                <w:lang w:val="id-ID" w:eastAsia="en-ID" w:bidi="ar-SA"/>
              </w:rPr>
              <w:t>tudy</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9C4C2E" w:rsidRDefault="00B06F67" w:rsidP="009C4C2E">
            <w:pPr>
              <w:widowControl/>
              <w:autoSpaceDE/>
              <w:autoSpaceDN/>
              <w:rPr>
                <w:color w:val="000000"/>
                <w:lang w:val="en-ID" w:eastAsia="en-ID" w:bidi="ar-SA"/>
              </w:rPr>
            </w:pPr>
            <w:r w:rsidRPr="009C4C2E">
              <w:rPr>
                <w:color w:val="000000"/>
                <w:lang w:val="en-ID" w:eastAsia="en-ID" w:bidi="ar-SA"/>
              </w:rPr>
              <w:t>2. Pendanaan ke pembangkit skala kecil</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724A37" w:rsidRDefault="00724A37" w:rsidP="00B06F67">
            <w:pPr>
              <w:widowControl/>
              <w:autoSpaceDE/>
              <w:autoSpaceDN/>
              <w:spacing w:line="480" w:lineRule="auto"/>
              <w:rPr>
                <w:b/>
                <w:bCs/>
                <w:color w:val="000000"/>
                <w:sz w:val="24"/>
                <w:szCs w:val="24"/>
                <w:lang w:val="en-ID" w:eastAsia="en-ID" w:bidi="ar-SA"/>
              </w:rPr>
            </w:pPr>
          </w:p>
          <w:p w:rsidR="00724A37" w:rsidRDefault="00724A37" w:rsidP="00B06F67">
            <w:pPr>
              <w:widowControl/>
              <w:autoSpaceDE/>
              <w:autoSpaceDN/>
              <w:spacing w:line="480" w:lineRule="auto"/>
              <w:rPr>
                <w:b/>
                <w:bCs/>
                <w:color w:val="000000"/>
                <w:sz w:val="24"/>
                <w:szCs w:val="24"/>
                <w:lang w:val="en-ID" w:eastAsia="en-ID" w:bidi="ar-SA"/>
              </w:rPr>
            </w:pPr>
          </w:p>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lastRenderedPageBreak/>
              <w:t>Surya Dharma METI</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 xml:space="preserve">Siap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Bisa</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40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60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Sudah ada gerakan capacity building</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masalah politik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dukung pembangkit EBT kecil</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strong leadership dan konsistensi kebijakan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konflik interest BUMN energi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capacity building investor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Fabby Tumiwa IESR</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 xml:space="preserve">Bisa tidak Indonesia mencapai target RAN GRK dan NDC?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Bisa</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40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b/>
                <w:bCs/>
                <w:color w:val="000000"/>
                <w:sz w:val="24"/>
                <w:szCs w:val="24"/>
                <w:lang w:val="en-ID" w:eastAsia="en-ID" w:bidi="ar-SA"/>
              </w:rPr>
            </w:pPr>
            <w:r w:rsidRPr="00B06F67">
              <w:rPr>
                <w:b/>
                <w:bCs/>
                <w:color w:val="000000"/>
                <w:sz w:val="24"/>
                <w:szCs w:val="24"/>
                <w:lang w:val="en-ID" w:eastAsia="en-ID" w:bidi="ar-SA"/>
              </w:rPr>
              <w:t>60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Ada RUEN</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40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target investasi EBT sejak 2012 tidak pernah tercapai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25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tidak konsisten pada RUEN</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harga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monopoli PLN dan masalah politik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B06F67" w:rsidRDefault="00B06F67" w:rsidP="00B06F67">
            <w:pPr>
              <w:widowControl/>
              <w:autoSpaceDE/>
              <w:autoSpaceDN/>
              <w:spacing w:line="480" w:lineRule="auto"/>
              <w:jc w:val="center"/>
              <w:rPr>
                <w:color w:val="000000"/>
                <w:sz w:val="24"/>
                <w:szCs w:val="24"/>
                <w:lang w:val="en-ID" w:eastAsia="en-ID" w:bidi="ar-SA"/>
              </w:rPr>
            </w:pPr>
            <w:r w:rsidRPr="00B06F67">
              <w:rPr>
                <w:color w:val="000000"/>
                <w:sz w:val="24"/>
                <w:szCs w:val="24"/>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1. Regulasi perlu diimprove dengan risk allocation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2. Mengatasi tantangan pembiayaan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BC06E3" w:rsidRDefault="00B06F67" w:rsidP="00724A37">
            <w:pPr>
              <w:widowControl/>
              <w:autoSpaceDE/>
              <w:autoSpaceDN/>
              <w:rPr>
                <w:color w:val="000000"/>
                <w:lang w:val="id-ID" w:eastAsia="en-ID" w:bidi="ar-SA"/>
              </w:rPr>
            </w:pPr>
            <w:r w:rsidRPr="00724A37">
              <w:rPr>
                <w:color w:val="000000"/>
                <w:lang w:val="en-ID" w:eastAsia="en-ID" w:bidi="ar-SA"/>
              </w:rPr>
              <w:t>3. Capacity building agar memenuhi syarat F</w:t>
            </w:r>
            <w:r w:rsidR="00BC06E3">
              <w:rPr>
                <w:color w:val="000000"/>
                <w:lang w:val="id-ID" w:eastAsia="en-ID" w:bidi="ar-SA"/>
              </w:rPr>
              <w:t xml:space="preserve">easibility </w:t>
            </w:r>
            <w:r w:rsidRPr="00724A37">
              <w:rPr>
                <w:color w:val="000000"/>
                <w:lang w:val="en-ID" w:eastAsia="en-ID" w:bidi="ar-SA"/>
              </w:rPr>
              <w:t>S</w:t>
            </w:r>
            <w:r w:rsidR="00BC06E3">
              <w:rPr>
                <w:color w:val="000000"/>
                <w:lang w:val="id-ID" w:eastAsia="en-ID" w:bidi="ar-SA"/>
              </w:rPr>
              <w:t>tudy</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4. Butuh leadership yang bagus</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5. Memperbanyak dialog clean energy</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724A37" w:rsidRDefault="00B06F67" w:rsidP="00724A37">
            <w:pPr>
              <w:widowControl/>
              <w:autoSpaceDE/>
              <w:autoSpaceDN/>
              <w:rPr>
                <w:color w:val="000000"/>
                <w:lang w:val="en-ID" w:eastAsia="en-ID" w:bidi="ar-SA"/>
              </w:rPr>
            </w:pPr>
          </w:p>
        </w:tc>
        <w:tc>
          <w:tcPr>
            <w:tcW w:w="484" w:type="dxa"/>
            <w:tcBorders>
              <w:top w:val="nil"/>
              <w:left w:val="nil"/>
              <w:bottom w:val="nil"/>
              <w:right w:val="nil"/>
            </w:tcBorders>
            <w:shd w:val="clear" w:color="auto" w:fill="auto"/>
            <w:noWrap/>
            <w:vAlign w:val="bottom"/>
            <w:hideMark/>
          </w:tcPr>
          <w:p w:rsidR="00B06F67" w:rsidRPr="00724A37" w:rsidRDefault="00B06F67" w:rsidP="00724A37">
            <w:pPr>
              <w:widowControl/>
              <w:autoSpaceDE/>
              <w:autoSpaceDN/>
              <w:rPr>
                <w:lang w:val="en-ID" w:eastAsia="en-ID" w:bidi="ar-SA"/>
              </w:rPr>
            </w:pPr>
          </w:p>
        </w:tc>
        <w:tc>
          <w:tcPr>
            <w:tcW w:w="490" w:type="dxa"/>
            <w:tcBorders>
              <w:top w:val="nil"/>
              <w:left w:val="nil"/>
              <w:bottom w:val="nil"/>
              <w:right w:val="nil"/>
            </w:tcBorders>
            <w:shd w:val="clear" w:color="auto" w:fill="auto"/>
            <w:noWrap/>
            <w:vAlign w:val="bottom"/>
            <w:hideMark/>
          </w:tcPr>
          <w:p w:rsidR="00B06F67" w:rsidRPr="00724A37" w:rsidRDefault="00B06F67" w:rsidP="00724A37">
            <w:pPr>
              <w:widowControl/>
              <w:autoSpaceDE/>
              <w:autoSpaceDN/>
              <w:jc w:val="center"/>
              <w:rPr>
                <w:lang w:val="en-ID" w:eastAsia="en-ID" w:bidi="ar-SA"/>
              </w:rPr>
            </w:pPr>
          </w:p>
        </w:tc>
        <w:tc>
          <w:tcPr>
            <w:tcW w:w="266" w:type="dxa"/>
            <w:tcBorders>
              <w:top w:val="nil"/>
              <w:left w:val="nil"/>
              <w:bottom w:val="nil"/>
              <w:right w:val="nil"/>
            </w:tcBorders>
            <w:shd w:val="clear" w:color="auto" w:fill="auto"/>
            <w:noWrap/>
            <w:vAlign w:val="bottom"/>
            <w:hideMark/>
          </w:tcPr>
          <w:p w:rsidR="00B06F67" w:rsidRPr="00724A37" w:rsidRDefault="00B06F67" w:rsidP="00724A37">
            <w:pPr>
              <w:widowControl/>
              <w:autoSpaceDE/>
              <w:autoSpaceDN/>
              <w:jc w:val="center"/>
              <w:rPr>
                <w:lang w:val="en-ID" w:eastAsia="en-ID" w:bidi="ar-SA"/>
              </w:rPr>
            </w:pPr>
          </w:p>
        </w:tc>
        <w:tc>
          <w:tcPr>
            <w:tcW w:w="1755" w:type="dxa"/>
            <w:tcBorders>
              <w:top w:val="nil"/>
              <w:left w:val="nil"/>
              <w:bottom w:val="nil"/>
              <w:right w:val="nil"/>
            </w:tcBorders>
            <w:shd w:val="clear" w:color="auto" w:fill="auto"/>
            <w:vAlign w:val="bottom"/>
            <w:hideMark/>
          </w:tcPr>
          <w:p w:rsidR="00B06F67" w:rsidRPr="00724A37" w:rsidRDefault="00B06F67" w:rsidP="00724A37">
            <w:pPr>
              <w:widowControl/>
              <w:autoSpaceDE/>
              <w:autoSpaceDN/>
              <w:rPr>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Fauzi Imron KADIN/IMEF</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Siap atau tidak indonesia mencapai RAN GRK dan NDC?</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20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80</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Ada target RUEN, RPJMN 2015-2019</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2015-2018 pertumbuhan kapasitas pembangkit EBT rendah</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lastRenderedPageBreak/>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pembangunan pembangkit EBT hanya jika PLN mau</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inkonsistensi kebijakan dan regulasi EBT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harga EBT beralih dari feed in tariff ke ketentuan BPP dan BOOT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Tarif E</w:t>
            </w:r>
            <w:r w:rsidR="00BC06E3">
              <w:rPr>
                <w:color w:val="000000"/>
                <w:lang w:val="id-ID" w:eastAsia="en-ID" w:bidi="ar-SA"/>
              </w:rPr>
              <w:t>B</w:t>
            </w:r>
            <w:r w:rsidRPr="00724A37">
              <w:rPr>
                <w:color w:val="000000"/>
                <w:lang w:val="en-ID" w:eastAsia="en-ID" w:bidi="ar-SA"/>
              </w:rPr>
              <w:t>T didasarkan kontrak PLN yang kadang tidak sesuai dengan peraturan</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Keterbatasan sumber dana untuk proyek EBT terutama di bawah 10 MW</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tidak ada insentif dan subsidi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1. Pemerintah perlu menyusun strategi, rencana dan target tahunan untuk EBT</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3828" w:type="dxa"/>
            <w:tcBorders>
              <w:top w:val="nil"/>
              <w:left w:val="nil"/>
              <w:bottom w:val="nil"/>
              <w:right w:val="nil"/>
            </w:tcBorders>
            <w:shd w:val="clear" w:color="auto" w:fill="auto"/>
            <w:vAlign w:val="bottom"/>
          </w:tcPr>
          <w:p w:rsidR="00724A37" w:rsidRPr="00B06F67" w:rsidRDefault="00724A37" w:rsidP="00B06F67">
            <w:pPr>
              <w:widowControl/>
              <w:autoSpaceDE/>
              <w:autoSpaceDN/>
              <w:spacing w:line="480" w:lineRule="auto"/>
              <w:rPr>
                <w:sz w:val="24"/>
                <w:szCs w:val="24"/>
                <w:lang w:val="en-ID" w:eastAsia="en-ID" w:bidi="ar-SA"/>
              </w:rPr>
            </w:pPr>
          </w:p>
        </w:tc>
        <w:tc>
          <w:tcPr>
            <w:tcW w:w="484" w:type="dxa"/>
            <w:tcBorders>
              <w:top w:val="nil"/>
              <w:left w:val="nil"/>
              <w:bottom w:val="nil"/>
              <w:right w:val="nil"/>
            </w:tcBorders>
            <w:shd w:val="clear" w:color="auto" w:fill="auto"/>
            <w:noWrap/>
            <w:vAlign w:val="bottom"/>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54175F">
        <w:trPr>
          <w:trHeight w:val="300"/>
        </w:trPr>
        <w:tc>
          <w:tcPr>
            <w:tcW w:w="3828" w:type="dxa"/>
            <w:tcBorders>
              <w:top w:val="nil"/>
              <w:left w:val="nil"/>
              <w:bottom w:val="nil"/>
              <w:right w:val="nil"/>
            </w:tcBorders>
            <w:shd w:val="clear" w:color="auto" w:fill="auto"/>
            <w:vAlign w:val="bottom"/>
          </w:tcPr>
          <w:p w:rsidR="00B06F67" w:rsidRPr="0054175F" w:rsidRDefault="0054175F" w:rsidP="00B06F67">
            <w:pPr>
              <w:widowControl/>
              <w:autoSpaceDE/>
              <w:autoSpaceDN/>
              <w:spacing w:line="480" w:lineRule="auto"/>
              <w:rPr>
                <w:b/>
                <w:bCs/>
                <w:color w:val="000000"/>
                <w:sz w:val="24"/>
                <w:szCs w:val="24"/>
                <w:lang w:val="id-ID" w:eastAsia="en-ID" w:bidi="ar-SA"/>
              </w:rPr>
            </w:pPr>
            <w:r>
              <w:rPr>
                <w:b/>
                <w:bCs/>
                <w:color w:val="000000"/>
                <w:sz w:val="24"/>
                <w:szCs w:val="24"/>
                <w:lang w:val="id-ID" w:eastAsia="en-ID" w:bidi="ar-SA"/>
              </w:rPr>
              <w:t>Satya Yudha DPR</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Siap atau tidak indonesia mencapai RAN GRK dan NDC?</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60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40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ratifikasi sudah bersifat mengikat</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30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konversi BBM masih jalan di tempat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upaya menerapkan standar euro 4</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circullar economy hanya di beberapa tempat</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konversi BBM ke BBG</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h</w:t>
            </w:r>
            <w:r w:rsidR="00BC06E3">
              <w:rPr>
                <w:color w:val="000000"/>
                <w:lang w:val="en-ID" w:eastAsia="en-ID" w:bidi="ar-SA"/>
              </w:rPr>
              <w:t>arus ada pengumuman presiden tentang</w:t>
            </w:r>
            <w:r w:rsidRPr="00724A37">
              <w:rPr>
                <w:color w:val="000000"/>
                <w:lang w:val="en-ID" w:eastAsia="en-ID" w:bidi="ar-SA"/>
              </w:rPr>
              <w:t xml:space="preserve"> penerapan low carbon economy</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menekan high dan fly ash di PLTB dan PLTU</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C06E3" w:rsidP="00724A37">
            <w:pPr>
              <w:widowControl/>
              <w:autoSpaceDE/>
              <w:autoSpaceDN/>
              <w:rPr>
                <w:color w:val="000000"/>
                <w:lang w:val="en-ID" w:eastAsia="en-ID" w:bidi="ar-SA"/>
              </w:rPr>
            </w:pPr>
            <w:r>
              <w:rPr>
                <w:color w:val="000000"/>
                <w:lang w:val="en-ID" w:eastAsia="en-ID" w:bidi="ar-SA"/>
              </w:rPr>
              <w:t>penerapan biofuel B</w:t>
            </w:r>
            <w:r w:rsidR="00B06F67" w:rsidRPr="00724A37">
              <w:rPr>
                <w:color w:val="000000"/>
                <w:lang w:val="en-ID" w:eastAsia="en-ID" w:bidi="ar-SA"/>
              </w:rPr>
              <w:t>20 kurang matang implementasinya</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lastRenderedPageBreak/>
              <w:t>penerapan B20</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arah menuju target NDC sudah betul</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30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1. Penerapan circullar ekonomi jadi solusi NDC</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2. Konversi energi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3. Larangan impor mobil berbasis BBM</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4. APBN yang diarahkan ke karbon rendah</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5. Perlu strong leadership</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p w:rsidR="00B06F67" w:rsidRPr="00B06F67" w:rsidRDefault="00B06F67" w:rsidP="00B06F67">
            <w:pPr>
              <w:widowControl/>
              <w:autoSpaceDE/>
              <w:autoSpaceDN/>
              <w:spacing w:line="480" w:lineRule="auto"/>
              <w:rPr>
                <w:b/>
                <w:bCs/>
                <w:color w:val="000000"/>
                <w:sz w:val="24"/>
                <w:szCs w:val="24"/>
                <w:lang w:val="en-ID" w:eastAsia="en-ID" w:bidi="ar-SA"/>
              </w:rPr>
            </w:pPr>
            <w:r w:rsidRPr="00B06F67">
              <w:rPr>
                <w:b/>
                <w:bCs/>
                <w:color w:val="000000"/>
                <w:sz w:val="24"/>
                <w:szCs w:val="24"/>
                <w:lang w:val="en-ID" w:eastAsia="en-ID" w:bidi="ar-SA"/>
              </w:rPr>
              <w:t>Paul Butar-butar METI</w:t>
            </w: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b/>
                <w:bCs/>
                <w:color w:val="000000"/>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Siap atau tidak indonesia mencapai RAN GRK dan NDC?</w:t>
            </w:r>
          </w:p>
        </w:tc>
      </w:tr>
      <w:tr w:rsidR="00B06F67" w:rsidRPr="00B06F67" w:rsidTr="00ED1909">
        <w:trPr>
          <w:trHeight w:val="3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Siap</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40</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b/>
                <w:bCs/>
                <w:color w:val="000000"/>
                <w:lang w:val="en-ID" w:eastAsia="en-ID" w:bidi="ar-SA"/>
              </w:rPr>
            </w:pPr>
            <w:r w:rsidRPr="00724A37">
              <w:rPr>
                <w:b/>
                <w:bCs/>
                <w:color w:val="000000"/>
                <w:lang w:val="en-ID" w:eastAsia="en-ID" w:bidi="ar-SA"/>
              </w:rPr>
              <w:t>Tidak</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b/>
                <w:bCs/>
                <w:color w:val="000000"/>
                <w:lang w:val="en-ID" w:eastAsia="en-ID" w:bidi="ar-SA"/>
              </w:rPr>
            </w:pPr>
            <w:r w:rsidRPr="00724A37">
              <w:rPr>
                <w:b/>
                <w:bCs/>
                <w:color w:val="000000"/>
                <w:lang w:val="en-ID" w:eastAsia="en-ID" w:bidi="ar-SA"/>
              </w:rPr>
              <w:t>60</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C06E3" w:rsidP="00724A37">
            <w:pPr>
              <w:widowControl/>
              <w:autoSpaceDE/>
              <w:autoSpaceDN/>
              <w:rPr>
                <w:color w:val="000000"/>
                <w:lang w:val="en-ID" w:eastAsia="en-ID" w:bidi="ar-SA"/>
              </w:rPr>
            </w:pPr>
            <w:r>
              <w:rPr>
                <w:color w:val="000000"/>
                <w:lang w:val="en-ID" w:eastAsia="en-ID" w:bidi="ar-SA"/>
              </w:rPr>
              <w:t>Sudah ratifikasi Persetujuan Paris</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realisasi pembangunan EBT tidak besar</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sudah ada KEN</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penurunan emisi belum dihitung</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ada target rasio elektrifikasi</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Baru SMI lembaga pendanaan yang terakreditasi</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ada funding internasional</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20</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PPA tidak bankable untuk IPP kecil</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konsistensi pemerintah kurang</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15</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regulasi ke swasta masih kurang menguntungkan</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6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484"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90"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266"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 </w:t>
            </w:r>
          </w:p>
        </w:tc>
        <w:tc>
          <w:tcPr>
            <w:tcW w:w="1755" w:type="dxa"/>
            <w:tcBorders>
              <w:top w:val="nil"/>
              <w:left w:val="nil"/>
              <w:bottom w:val="single" w:sz="4" w:space="0" w:color="auto"/>
              <w:right w:val="single" w:sz="4" w:space="0" w:color="auto"/>
            </w:tcBorders>
            <w:shd w:val="clear" w:color="auto" w:fill="auto"/>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insentif pajak, pendanaan dan loan guarantee kurang</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c>
          <w:tcPr>
            <w:tcW w:w="485" w:type="dxa"/>
            <w:tcBorders>
              <w:top w:val="nil"/>
              <w:left w:val="nil"/>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jc w:val="center"/>
              <w:rPr>
                <w:color w:val="000000"/>
                <w:lang w:val="en-ID" w:eastAsia="en-ID" w:bidi="ar-SA"/>
              </w:rPr>
            </w:pPr>
            <w:r w:rsidRPr="00724A37">
              <w:rPr>
                <w:color w:val="000000"/>
                <w:lang w:val="en-ID" w:eastAsia="en-ID" w:bidi="ar-SA"/>
              </w:rPr>
              <w:t> </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i/>
                <w:iCs/>
                <w:color w:val="000000"/>
                <w:lang w:val="en-ID" w:eastAsia="en-ID" w:bidi="ar-SA"/>
              </w:rPr>
            </w:pPr>
            <w:r w:rsidRPr="00724A37">
              <w:rPr>
                <w:i/>
                <w:iCs/>
                <w:color w:val="000000"/>
                <w:lang w:val="en-ID" w:eastAsia="en-ID" w:bidi="ar-SA"/>
              </w:rPr>
              <w:t>Solusi</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1. Aturan low carbon</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2. Perbanyak studi harga EBT</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3. Regulasi yang bersahabat untuk swasta</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4. ada subsidi dan penghapusan skema BPP</w:t>
            </w:r>
          </w:p>
        </w:tc>
      </w:tr>
      <w:tr w:rsidR="00B06F67" w:rsidRPr="00B06F67" w:rsidTr="00ED1909">
        <w:trPr>
          <w:trHeight w:val="300"/>
        </w:trPr>
        <w:tc>
          <w:tcPr>
            <w:tcW w:w="77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6F67" w:rsidRPr="00724A37" w:rsidRDefault="00B06F67" w:rsidP="00724A37">
            <w:pPr>
              <w:widowControl/>
              <w:autoSpaceDE/>
              <w:autoSpaceDN/>
              <w:rPr>
                <w:color w:val="000000"/>
                <w:lang w:val="en-ID" w:eastAsia="en-ID" w:bidi="ar-SA"/>
              </w:rPr>
            </w:pPr>
            <w:r w:rsidRPr="00724A37">
              <w:rPr>
                <w:color w:val="000000"/>
                <w:lang w:val="en-ID" w:eastAsia="en-ID" w:bidi="ar-SA"/>
              </w:rPr>
              <w:t>5. Perlu dorongan peran semua stakeholder dan komitmen yang kuat</w:t>
            </w:r>
          </w:p>
        </w:tc>
      </w:tr>
      <w:tr w:rsidR="00B06F67" w:rsidRPr="00B06F67" w:rsidTr="00ED1909">
        <w:trPr>
          <w:trHeight w:val="300"/>
        </w:trPr>
        <w:tc>
          <w:tcPr>
            <w:tcW w:w="3828"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color w:val="000000"/>
                <w:sz w:val="24"/>
                <w:szCs w:val="24"/>
                <w:lang w:val="en-ID" w:eastAsia="en-ID" w:bidi="ar-SA"/>
              </w:rPr>
            </w:pPr>
          </w:p>
        </w:tc>
        <w:tc>
          <w:tcPr>
            <w:tcW w:w="484"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90"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266"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c>
          <w:tcPr>
            <w:tcW w:w="1755" w:type="dxa"/>
            <w:tcBorders>
              <w:top w:val="nil"/>
              <w:left w:val="nil"/>
              <w:bottom w:val="nil"/>
              <w:right w:val="nil"/>
            </w:tcBorders>
            <w:shd w:val="clear" w:color="auto" w:fill="auto"/>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rPr>
                <w:sz w:val="24"/>
                <w:szCs w:val="24"/>
                <w:lang w:val="en-ID" w:eastAsia="en-ID" w:bidi="ar-SA"/>
              </w:rPr>
            </w:pPr>
          </w:p>
        </w:tc>
        <w:tc>
          <w:tcPr>
            <w:tcW w:w="485" w:type="dxa"/>
            <w:tcBorders>
              <w:top w:val="nil"/>
              <w:left w:val="nil"/>
              <w:bottom w:val="nil"/>
              <w:right w:val="nil"/>
            </w:tcBorders>
            <w:shd w:val="clear" w:color="auto" w:fill="auto"/>
            <w:noWrap/>
            <w:vAlign w:val="bottom"/>
            <w:hideMark/>
          </w:tcPr>
          <w:p w:rsidR="00B06F67" w:rsidRPr="00B06F67" w:rsidRDefault="00B06F67" w:rsidP="00B06F67">
            <w:pPr>
              <w:widowControl/>
              <w:autoSpaceDE/>
              <w:autoSpaceDN/>
              <w:spacing w:line="480" w:lineRule="auto"/>
              <w:jc w:val="center"/>
              <w:rPr>
                <w:sz w:val="24"/>
                <w:szCs w:val="24"/>
                <w:lang w:val="en-ID" w:eastAsia="en-ID" w:bidi="ar-SA"/>
              </w:rPr>
            </w:pPr>
          </w:p>
        </w:tc>
      </w:tr>
    </w:tbl>
    <w:p w:rsidR="00DC7A75" w:rsidRDefault="00B06F67" w:rsidP="00724A37">
      <w:pPr>
        <w:widowControl/>
        <w:spacing w:after="160" w:line="480" w:lineRule="auto"/>
        <w:ind w:leftChars="99" w:left="218" w:firstLine="502"/>
        <w:jc w:val="both"/>
        <w:rPr>
          <w:rFonts w:eastAsia="Calibri"/>
          <w:sz w:val="24"/>
          <w:szCs w:val="24"/>
          <w:lang w:val="id-ID" w:eastAsia="zh-CN" w:bidi="ar"/>
        </w:rPr>
      </w:pPr>
      <w:r w:rsidRPr="00B06F67">
        <w:rPr>
          <w:rFonts w:eastAsia="Calibri"/>
          <w:sz w:val="24"/>
          <w:szCs w:val="24"/>
          <w:lang w:val="id-ID" w:eastAsia="zh-CN" w:bidi="ar"/>
        </w:rPr>
        <w:lastRenderedPageBreak/>
        <w:t>Setelah wawancara, maka nara sumber dikelompokkan berdasarkan kelompok regulator, ahli dan praktisi, serta NGO. Kemudian dari masing-masing nara sumber, diberi pembobotan skala kesiapan Indonesia mencapai target NDC dalam Persetujuan Paris, hambatan serta solusinya. Kemudian, nilai pembobotan digabung dan dilakukan rerata untuk mendapatkan skala pastinya.</w:t>
      </w:r>
      <w:r w:rsidR="00724A37">
        <w:rPr>
          <w:rFonts w:eastAsia="Calibri"/>
          <w:sz w:val="24"/>
          <w:szCs w:val="24"/>
          <w:lang w:val="id-ID" w:eastAsia="zh-CN" w:bidi="ar"/>
        </w:rPr>
        <w:t xml:space="preserve"> </w:t>
      </w:r>
    </w:p>
    <w:p w:rsidR="00B06F67" w:rsidRPr="00B06F67" w:rsidRDefault="00724A37" w:rsidP="00724A37">
      <w:pPr>
        <w:widowControl/>
        <w:spacing w:after="160" w:line="480" w:lineRule="auto"/>
        <w:ind w:leftChars="99" w:left="218" w:firstLine="502"/>
        <w:jc w:val="both"/>
        <w:rPr>
          <w:rFonts w:eastAsia="Calibri"/>
          <w:sz w:val="24"/>
          <w:szCs w:val="24"/>
          <w:lang w:val="id-ID" w:eastAsia="zh-CN" w:bidi="ar"/>
        </w:rPr>
      </w:pPr>
      <w:r>
        <w:rPr>
          <w:rFonts w:eastAsia="Calibri"/>
          <w:sz w:val="24"/>
          <w:szCs w:val="24"/>
          <w:lang w:val="id-ID" w:eastAsia="zh-CN" w:bidi="ar"/>
        </w:rPr>
        <w:t xml:space="preserve">Tabel 8 berisi penggolongan atau kategorisasi nara sumber penelitian: </w:t>
      </w:r>
    </w:p>
    <w:p w:rsidR="00B06F67" w:rsidRPr="00B06F67" w:rsidRDefault="00ED01AB" w:rsidP="00B06F67">
      <w:pPr>
        <w:widowControl/>
        <w:spacing w:after="160" w:line="480" w:lineRule="auto"/>
        <w:ind w:leftChars="99" w:left="220" w:hanging="2"/>
        <w:jc w:val="both"/>
        <w:rPr>
          <w:rFonts w:eastAsia="Calibri"/>
          <w:b/>
          <w:sz w:val="24"/>
          <w:szCs w:val="24"/>
          <w:lang w:val="id-ID" w:eastAsia="zh-CN" w:bidi="ar"/>
        </w:rPr>
      </w:pPr>
      <w:r>
        <w:rPr>
          <w:rFonts w:eastAsia="Calibri"/>
          <w:b/>
          <w:sz w:val="24"/>
          <w:szCs w:val="24"/>
          <w:lang w:val="id-ID" w:eastAsia="zh-CN" w:bidi="ar"/>
        </w:rPr>
        <w:t>Tabel 8. Kategorisasi Nara S</w:t>
      </w:r>
      <w:bookmarkStart w:id="0" w:name="_GoBack"/>
      <w:bookmarkEnd w:id="0"/>
      <w:r w:rsidR="00B06F67" w:rsidRPr="00B06F67">
        <w:rPr>
          <w:rFonts w:eastAsia="Calibri"/>
          <w:b/>
          <w:sz w:val="24"/>
          <w:szCs w:val="24"/>
          <w:lang w:val="id-ID" w:eastAsia="zh-CN" w:bidi="ar"/>
        </w:rPr>
        <w:t>umber</w:t>
      </w:r>
    </w:p>
    <w:tbl>
      <w:tblPr>
        <w:tblW w:w="7654" w:type="dxa"/>
        <w:tblInd w:w="279" w:type="dxa"/>
        <w:tblLook w:val="04A0" w:firstRow="1" w:lastRow="0" w:firstColumn="1" w:lastColumn="0" w:noHBand="0" w:noVBand="1"/>
      </w:tblPr>
      <w:tblGrid>
        <w:gridCol w:w="1984"/>
        <w:gridCol w:w="5670"/>
      </w:tblGrid>
      <w:tr w:rsidR="00B06F67" w:rsidRPr="00B06F67" w:rsidTr="00DC7A75">
        <w:trPr>
          <w:trHeight w:val="315"/>
        </w:trPr>
        <w:tc>
          <w:tcPr>
            <w:tcW w:w="1984"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B06F67" w:rsidRPr="00DC7A75" w:rsidRDefault="00B06F67" w:rsidP="00DC7A75">
            <w:pPr>
              <w:widowControl/>
              <w:autoSpaceDE/>
              <w:autoSpaceDN/>
              <w:jc w:val="center"/>
              <w:rPr>
                <w:color w:val="000000"/>
                <w:lang w:val="en-ID" w:eastAsia="en-ID" w:bidi="ar-SA"/>
              </w:rPr>
            </w:pPr>
            <w:r w:rsidRPr="00DC7A75">
              <w:rPr>
                <w:color w:val="000000"/>
                <w:lang w:val="en-ID" w:eastAsia="en-ID" w:bidi="ar-SA"/>
              </w:rPr>
              <w:t>Kategori</w:t>
            </w:r>
          </w:p>
        </w:tc>
        <w:tc>
          <w:tcPr>
            <w:tcW w:w="5670" w:type="dxa"/>
            <w:tcBorders>
              <w:top w:val="single" w:sz="4" w:space="0" w:color="auto"/>
              <w:left w:val="nil"/>
              <w:bottom w:val="double" w:sz="6" w:space="0" w:color="auto"/>
              <w:right w:val="single" w:sz="4" w:space="0" w:color="auto"/>
            </w:tcBorders>
            <w:shd w:val="clear" w:color="auto" w:fill="auto"/>
            <w:noWrap/>
            <w:vAlign w:val="bottom"/>
            <w:hideMark/>
          </w:tcPr>
          <w:p w:rsidR="00B06F67" w:rsidRPr="00DC7A75" w:rsidRDefault="00B06F67" w:rsidP="00DC7A75">
            <w:pPr>
              <w:widowControl/>
              <w:autoSpaceDE/>
              <w:autoSpaceDN/>
              <w:jc w:val="center"/>
              <w:rPr>
                <w:color w:val="000000"/>
                <w:lang w:val="en-ID" w:eastAsia="en-ID" w:bidi="ar-SA"/>
              </w:rPr>
            </w:pPr>
            <w:r w:rsidRPr="00DC7A75">
              <w:rPr>
                <w:color w:val="000000"/>
                <w:lang w:val="en-ID" w:eastAsia="en-ID" w:bidi="ar-SA"/>
              </w:rPr>
              <w:t>Asal Nara Sumber</w:t>
            </w:r>
          </w:p>
        </w:tc>
      </w:tr>
      <w:tr w:rsidR="00B06F67" w:rsidRPr="00B06F67" w:rsidTr="00DC7A75">
        <w:trPr>
          <w:trHeight w:val="315"/>
        </w:trPr>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06F67" w:rsidRPr="00DC7A75" w:rsidRDefault="00B06F67" w:rsidP="00DC7A75">
            <w:pPr>
              <w:widowControl/>
              <w:autoSpaceDE/>
              <w:autoSpaceDN/>
              <w:rPr>
                <w:color w:val="000000"/>
                <w:lang w:val="en-ID" w:eastAsia="en-ID" w:bidi="ar-SA"/>
              </w:rPr>
            </w:pPr>
            <w:r w:rsidRPr="00DC7A75">
              <w:rPr>
                <w:color w:val="000000"/>
                <w:lang w:val="en-ID" w:eastAsia="en-ID" w:bidi="ar-SA"/>
              </w:rPr>
              <w:t>Regulator</w:t>
            </w:r>
          </w:p>
        </w:tc>
        <w:tc>
          <w:tcPr>
            <w:tcW w:w="5670" w:type="dxa"/>
            <w:tcBorders>
              <w:top w:val="nil"/>
              <w:left w:val="nil"/>
              <w:bottom w:val="single" w:sz="4" w:space="0" w:color="auto"/>
              <w:right w:val="single" w:sz="4" w:space="0" w:color="auto"/>
            </w:tcBorders>
            <w:shd w:val="clear" w:color="auto" w:fill="auto"/>
            <w:noWrap/>
            <w:vAlign w:val="bottom"/>
            <w:hideMark/>
          </w:tcPr>
          <w:p w:rsidR="00B06F67" w:rsidRPr="00DC7A75" w:rsidRDefault="00B06F67" w:rsidP="00DC7A75">
            <w:pPr>
              <w:widowControl/>
              <w:autoSpaceDE/>
              <w:autoSpaceDN/>
              <w:rPr>
                <w:color w:val="000000"/>
                <w:lang w:val="en-ID" w:eastAsia="en-ID" w:bidi="ar-SA"/>
              </w:rPr>
            </w:pPr>
            <w:r w:rsidRPr="00DC7A75">
              <w:rPr>
                <w:color w:val="000000"/>
                <w:lang w:val="en-ID" w:eastAsia="en-ID" w:bidi="ar-SA"/>
              </w:rPr>
              <w:t>Kementerian ESDM Direktorat Konservasi Energi</w:t>
            </w:r>
          </w:p>
        </w:tc>
      </w:tr>
      <w:tr w:rsidR="00B06F67" w:rsidRPr="00B06F67" w:rsidTr="00DC7A75">
        <w:trPr>
          <w:trHeight w:val="300"/>
        </w:trPr>
        <w:tc>
          <w:tcPr>
            <w:tcW w:w="1984" w:type="dxa"/>
            <w:vMerge/>
            <w:tcBorders>
              <w:top w:val="nil"/>
              <w:left w:val="single" w:sz="4" w:space="0" w:color="auto"/>
              <w:bottom w:val="single" w:sz="4" w:space="0" w:color="000000"/>
              <w:right w:val="single" w:sz="4" w:space="0" w:color="auto"/>
            </w:tcBorders>
            <w:vAlign w:val="center"/>
            <w:hideMark/>
          </w:tcPr>
          <w:p w:rsidR="00B06F67" w:rsidRPr="00DC7A75" w:rsidRDefault="00B06F67"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hideMark/>
          </w:tcPr>
          <w:p w:rsidR="00B06F67" w:rsidRPr="00DC7A75" w:rsidRDefault="00B06F67" w:rsidP="00DC7A75">
            <w:pPr>
              <w:widowControl/>
              <w:autoSpaceDE/>
              <w:autoSpaceDN/>
              <w:rPr>
                <w:color w:val="000000"/>
                <w:lang w:val="en-ID" w:eastAsia="en-ID" w:bidi="ar-SA"/>
              </w:rPr>
            </w:pPr>
            <w:r w:rsidRPr="00DC7A75">
              <w:rPr>
                <w:color w:val="000000"/>
                <w:lang w:val="en-ID" w:eastAsia="en-ID" w:bidi="ar-SA"/>
              </w:rPr>
              <w:t>Kementerian ESDM Direktorat EBTKE</w:t>
            </w:r>
          </w:p>
        </w:tc>
      </w:tr>
      <w:tr w:rsidR="00B06F67" w:rsidRPr="00B06F67" w:rsidTr="00DC7A75">
        <w:trPr>
          <w:trHeight w:val="300"/>
        </w:trPr>
        <w:tc>
          <w:tcPr>
            <w:tcW w:w="1984" w:type="dxa"/>
            <w:vMerge/>
            <w:tcBorders>
              <w:top w:val="nil"/>
              <w:left w:val="single" w:sz="4" w:space="0" w:color="auto"/>
              <w:bottom w:val="single" w:sz="4" w:space="0" w:color="000000"/>
              <w:right w:val="single" w:sz="4" w:space="0" w:color="auto"/>
            </w:tcBorders>
            <w:vAlign w:val="center"/>
            <w:hideMark/>
          </w:tcPr>
          <w:p w:rsidR="00B06F67" w:rsidRPr="00DC7A75" w:rsidRDefault="00B06F67"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hideMark/>
          </w:tcPr>
          <w:p w:rsidR="00B06F67" w:rsidRPr="00DC7A75" w:rsidRDefault="00B06F67" w:rsidP="00DC7A75">
            <w:pPr>
              <w:widowControl/>
              <w:autoSpaceDE/>
              <w:autoSpaceDN/>
              <w:rPr>
                <w:color w:val="000000"/>
                <w:lang w:val="en-ID" w:eastAsia="en-ID" w:bidi="ar-SA"/>
              </w:rPr>
            </w:pPr>
            <w:r w:rsidRPr="00DC7A75">
              <w:rPr>
                <w:color w:val="000000"/>
                <w:lang w:val="en-ID" w:eastAsia="en-ID" w:bidi="ar-SA"/>
              </w:rPr>
              <w:t>Kementerian ESDM Direktorat Ketenagalistrikan</w:t>
            </w:r>
          </w:p>
        </w:tc>
      </w:tr>
      <w:tr w:rsidR="00B06F67" w:rsidRPr="00B06F67" w:rsidTr="00DC7A75">
        <w:trPr>
          <w:trHeight w:val="300"/>
        </w:trPr>
        <w:tc>
          <w:tcPr>
            <w:tcW w:w="1984" w:type="dxa"/>
            <w:vMerge/>
            <w:tcBorders>
              <w:top w:val="nil"/>
              <w:left w:val="single" w:sz="4" w:space="0" w:color="auto"/>
              <w:bottom w:val="single" w:sz="4" w:space="0" w:color="000000"/>
              <w:right w:val="single" w:sz="4" w:space="0" w:color="auto"/>
            </w:tcBorders>
            <w:vAlign w:val="center"/>
            <w:hideMark/>
          </w:tcPr>
          <w:p w:rsidR="00B06F67" w:rsidRPr="00DC7A75" w:rsidRDefault="00B06F67"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hideMark/>
          </w:tcPr>
          <w:p w:rsidR="00B06F67" w:rsidRPr="00DC7A75" w:rsidRDefault="00B06F67" w:rsidP="00DC7A75">
            <w:pPr>
              <w:widowControl/>
              <w:autoSpaceDE/>
              <w:autoSpaceDN/>
              <w:rPr>
                <w:color w:val="000000"/>
                <w:lang w:val="en-ID" w:eastAsia="en-ID" w:bidi="ar-SA"/>
              </w:rPr>
            </w:pPr>
            <w:r w:rsidRPr="00DC7A75">
              <w:rPr>
                <w:color w:val="000000"/>
                <w:lang w:val="en-ID" w:eastAsia="en-ID" w:bidi="ar-SA"/>
              </w:rPr>
              <w:t>Kementerian LHK</w:t>
            </w:r>
          </w:p>
        </w:tc>
      </w:tr>
      <w:tr w:rsidR="00B06F67" w:rsidRPr="00B06F67" w:rsidTr="00DC7A75">
        <w:trPr>
          <w:trHeight w:val="300"/>
        </w:trPr>
        <w:tc>
          <w:tcPr>
            <w:tcW w:w="1984" w:type="dxa"/>
            <w:vMerge/>
            <w:tcBorders>
              <w:top w:val="nil"/>
              <w:left w:val="single" w:sz="4" w:space="0" w:color="auto"/>
              <w:bottom w:val="single" w:sz="4" w:space="0" w:color="000000"/>
              <w:right w:val="single" w:sz="4" w:space="0" w:color="auto"/>
            </w:tcBorders>
            <w:vAlign w:val="center"/>
            <w:hideMark/>
          </w:tcPr>
          <w:p w:rsidR="00B06F67" w:rsidRPr="00DC7A75" w:rsidRDefault="00B06F67"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hideMark/>
          </w:tcPr>
          <w:p w:rsidR="00B06F67" w:rsidRPr="00DC7A75" w:rsidRDefault="00B06F67" w:rsidP="00DC7A75">
            <w:pPr>
              <w:widowControl/>
              <w:autoSpaceDE/>
              <w:autoSpaceDN/>
              <w:rPr>
                <w:color w:val="000000"/>
                <w:lang w:val="en-ID" w:eastAsia="en-ID" w:bidi="ar-SA"/>
              </w:rPr>
            </w:pPr>
            <w:r w:rsidRPr="00DC7A75">
              <w:rPr>
                <w:color w:val="000000"/>
                <w:lang w:val="en-ID" w:eastAsia="en-ID" w:bidi="ar-SA"/>
              </w:rPr>
              <w:t>Kemenko Perekonomian</w:t>
            </w:r>
          </w:p>
        </w:tc>
      </w:tr>
      <w:tr w:rsidR="00B06F67" w:rsidRPr="00B06F67" w:rsidTr="00DC7A75">
        <w:trPr>
          <w:trHeight w:val="300"/>
        </w:trPr>
        <w:tc>
          <w:tcPr>
            <w:tcW w:w="1984" w:type="dxa"/>
            <w:vMerge/>
            <w:tcBorders>
              <w:top w:val="nil"/>
              <w:left w:val="single" w:sz="4" w:space="0" w:color="auto"/>
              <w:bottom w:val="single" w:sz="4" w:space="0" w:color="000000"/>
              <w:right w:val="single" w:sz="4" w:space="0" w:color="auto"/>
            </w:tcBorders>
            <w:vAlign w:val="center"/>
            <w:hideMark/>
          </w:tcPr>
          <w:p w:rsidR="00B06F67" w:rsidRPr="00DC7A75" w:rsidRDefault="00B06F67"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hideMark/>
          </w:tcPr>
          <w:p w:rsidR="00B06F67" w:rsidRPr="00DC7A75" w:rsidRDefault="00B06F67" w:rsidP="00DC7A75">
            <w:pPr>
              <w:widowControl/>
              <w:autoSpaceDE/>
              <w:autoSpaceDN/>
              <w:rPr>
                <w:color w:val="000000"/>
                <w:lang w:val="en-ID" w:eastAsia="en-ID" w:bidi="ar-SA"/>
              </w:rPr>
            </w:pPr>
            <w:r w:rsidRPr="00DC7A75">
              <w:rPr>
                <w:color w:val="000000"/>
                <w:lang w:val="en-ID" w:eastAsia="en-ID" w:bidi="ar-SA"/>
              </w:rPr>
              <w:t>DPR</w:t>
            </w:r>
          </w:p>
        </w:tc>
      </w:tr>
      <w:tr w:rsidR="00ED01AB" w:rsidRPr="00B06F67" w:rsidTr="00CB1621">
        <w:trPr>
          <w:trHeight w:val="300"/>
        </w:trPr>
        <w:tc>
          <w:tcPr>
            <w:tcW w:w="1984" w:type="dxa"/>
            <w:vMerge w:val="restart"/>
            <w:tcBorders>
              <w:top w:val="nil"/>
              <w:left w:val="single" w:sz="4" w:space="0" w:color="auto"/>
              <w:right w:val="single" w:sz="4" w:space="0" w:color="auto"/>
            </w:tcBorders>
            <w:shd w:val="clear" w:color="auto" w:fill="auto"/>
            <w:noWrap/>
            <w:vAlign w:val="center"/>
            <w:hideMark/>
          </w:tcPr>
          <w:p w:rsidR="00ED01AB" w:rsidRPr="00DC7A75" w:rsidRDefault="00ED01AB" w:rsidP="00DC7A75">
            <w:pPr>
              <w:widowControl/>
              <w:autoSpaceDE/>
              <w:autoSpaceDN/>
              <w:rPr>
                <w:color w:val="000000"/>
                <w:lang w:val="en-ID" w:eastAsia="en-ID" w:bidi="ar-SA"/>
              </w:rPr>
            </w:pPr>
            <w:r w:rsidRPr="00DC7A75">
              <w:rPr>
                <w:color w:val="000000"/>
                <w:lang w:val="en-ID" w:eastAsia="en-ID" w:bidi="ar-SA"/>
              </w:rPr>
              <w:t>Ahli dan Praktisi</w:t>
            </w:r>
          </w:p>
        </w:tc>
        <w:tc>
          <w:tcPr>
            <w:tcW w:w="5670" w:type="dxa"/>
            <w:tcBorders>
              <w:top w:val="nil"/>
              <w:left w:val="nil"/>
              <w:bottom w:val="single" w:sz="4" w:space="0" w:color="auto"/>
              <w:right w:val="single" w:sz="4" w:space="0" w:color="auto"/>
            </w:tcBorders>
            <w:shd w:val="clear" w:color="auto" w:fill="auto"/>
            <w:noWrap/>
            <w:vAlign w:val="bottom"/>
            <w:hideMark/>
          </w:tcPr>
          <w:p w:rsidR="00ED01AB" w:rsidRPr="00DC7A75" w:rsidRDefault="00ED01AB" w:rsidP="00DC7A75">
            <w:pPr>
              <w:widowControl/>
              <w:autoSpaceDE/>
              <w:autoSpaceDN/>
              <w:rPr>
                <w:color w:val="000000"/>
                <w:lang w:val="en-ID" w:eastAsia="en-ID" w:bidi="ar-SA"/>
              </w:rPr>
            </w:pPr>
            <w:r w:rsidRPr="00DC7A75">
              <w:rPr>
                <w:color w:val="000000"/>
                <w:lang w:val="en-ID" w:eastAsia="en-ID" w:bidi="ar-SA"/>
              </w:rPr>
              <w:t>Mantan Menteri ESDM 2000-2009</w:t>
            </w:r>
          </w:p>
        </w:tc>
      </w:tr>
      <w:tr w:rsidR="00ED01AB" w:rsidRPr="00B06F67" w:rsidTr="00CB1621">
        <w:trPr>
          <w:trHeight w:val="300"/>
        </w:trPr>
        <w:tc>
          <w:tcPr>
            <w:tcW w:w="1984" w:type="dxa"/>
            <w:vMerge/>
            <w:tcBorders>
              <w:left w:val="single" w:sz="4" w:space="0" w:color="auto"/>
              <w:right w:val="single" w:sz="4" w:space="0" w:color="auto"/>
            </w:tcBorders>
            <w:vAlign w:val="center"/>
            <w:hideMark/>
          </w:tcPr>
          <w:p w:rsidR="00ED01AB" w:rsidRPr="00DC7A75" w:rsidRDefault="00ED01AB"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hideMark/>
          </w:tcPr>
          <w:p w:rsidR="00ED01AB" w:rsidRPr="00DC7A75" w:rsidRDefault="00ED01AB" w:rsidP="00DC7A75">
            <w:pPr>
              <w:widowControl/>
              <w:autoSpaceDE/>
              <w:autoSpaceDN/>
              <w:rPr>
                <w:color w:val="000000"/>
                <w:lang w:val="en-ID" w:eastAsia="en-ID" w:bidi="ar-SA"/>
              </w:rPr>
            </w:pPr>
            <w:r w:rsidRPr="00DC7A75">
              <w:rPr>
                <w:color w:val="000000"/>
                <w:lang w:val="en-ID" w:eastAsia="en-ID" w:bidi="ar-SA"/>
              </w:rPr>
              <w:t>Mantan Menteri ESDM 2014-2016</w:t>
            </w:r>
          </w:p>
        </w:tc>
      </w:tr>
      <w:tr w:rsidR="00ED01AB" w:rsidRPr="00B06F67" w:rsidTr="00CB1621">
        <w:trPr>
          <w:trHeight w:val="430"/>
        </w:trPr>
        <w:tc>
          <w:tcPr>
            <w:tcW w:w="1984" w:type="dxa"/>
            <w:vMerge/>
            <w:tcBorders>
              <w:left w:val="single" w:sz="4" w:space="0" w:color="auto"/>
              <w:right w:val="single" w:sz="4" w:space="0" w:color="auto"/>
            </w:tcBorders>
            <w:vAlign w:val="center"/>
            <w:hideMark/>
          </w:tcPr>
          <w:p w:rsidR="00ED01AB" w:rsidRPr="00DC7A75" w:rsidRDefault="00ED01AB"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hideMark/>
          </w:tcPr>
          <w:p w:rsidR="00ED01AB" w:rsidRPr="00DC7A75" w:rsidRDefault="00ED01AB" w:rsidP="00DC7A75">
            <w:pPr>
              <w:widowControl/>
              <w:autoSpaceDE/>
              <w:autoSpaceDN/>
              <w:rPr>
                <w:color w:val="000000"/>
                <w:lang w:val="en-ID" w:eastAsia="en-ID" w:bidi="ar-SA"/>
              </w:rPr>
            </w:pPr>
            <w:r w:rsidRPr="00DC7A75">
              <w:rPr>
                <w:color w:val="000000"/>
                <w:lang w:val="en-ID" w:eastAsia="en-ID" w:bidi="ar-SA"/>
              </w:rPr>
              <w:t>KADIN</w:t>
            </w:r>
          </w:p>
        </w:tc>
      </w:tr>
      <w:tr w:rsidR="00ED01AB" w:rsidRPr="00B06F67" w:rsidTr="00CB1621">
        <w:trPr>
          <w:trHeight w:val="300"/>
        </w:trPr>
        <w:tc>
          <w:tcPr>
            <w:tcW w:w="1984" w:type="dxa"/>
            <w:vMerge/>
            <w:tcBorders>
              <w:left w:val="single" w:sz="4" w:space="0" w:color="auto"/>
              <w:bottom w:val="single" w:sz="4" w:space="0" w:color="000000"/>
              <w:right w:val="single" w:sz="4" w:space="0" w:color="auto"/>
            </w:tcBorders>
            <w:vAlign w:val="center"/>
          </w:tcPr>
          <w:p w:rsidR="00ED01AB" w:rsidRPr="00DC7A75" w:rsidRDefault="00ED01AB" w:rsidP="00DC7A75">
            <w:pPr>
              <w:widowControl/>
              <w:autoSpaceDE/>
              <w:autoSpaceDN/>
              <w:rPr>
                <w:color w:val="000000"/>
                <w:lang w:val="en-ID" w:eastAsia="en-ID" w:bidi="ar-SA"/>
              </w:rPr>
            </w:pPr>
          </w:p>
        </w:tc>
        <w:tc>
          <w:tcPr>
            <w:tcW w:w="5670" w:type="dxa"/>
            <w:tcBorders>
              <w:top w:val="nil"/>
              <w:left w:val="nil"/>
              <w:bottom w:val="single" w:sz="4" w:space="0" w:color="auto"/>
              <w:right w:val="single" w:sz="4" w:space="0" w:color="auto"/>
            </w:tcBorders>
            <w:shd w:val="clear" w:color="auto" w:fill="auto"/>
            <w:noWrap/>
            <w:vAlign w:val="bottom"/>
          </w:tcPr>
          <w:p w:rsidR="00ED01AB" w:rsidRPr="00DC7A75" w:rsidRDefault="00ED01AB" w:rsidP="00DC7A75">
            <w:pPr>
              <w:widowControl/>
              <w:autoSpaceDE/>
              <w:autoSpaceDN/>
              <w:rPr>
                <w:color w:val="000000"/>
                <w:lang w:val="id-ID" w:eastAsia="en-ID" w:bidi="ar-SA"/>
              </w:rPr>
            </w:pPr>
            <w:r w:rsidRPr="00DC7A75">
              <w:rPr>
                <w:color w:val="000000"/>
                <w:lang w:val="id-ID" w:eastAsia="en-ID" w:bidi="ar-SA"/>
              </w:rPr>
              <w:t>SMI</w:t>
            </w:r>
          </w:p>
        </w:tc>
      </w:tr>
      <w:tr w:rsidR="00ED01AB" w:rsidRPr="00B06F67" w:rsidTr="00303BCC">
        <w:trPr>
          <w:trHeight w:val="300"/>
        </w:trPr>
        <w:tc>
          <w:tcPr>
            <w:tcW w:w="1984" w:type="dxa"/>
            <w:vMerge w:val="restart"/>
            <w:tcBorders>
              <w:top w:val="nil"/>
              <w:left w:val="single" w:sz="4" w:space="0" w:color="auto"/>
              <w:right w:val="single" w:sz="4" w:space="0" w:color="auto"/>
            </w:tcBorders>
            <w:shd w:val="clear" w:color="auto" w:fill="auto"/>
            <w:noWrap/>
            <w:vAlign w:val="bottom"/>
            <w:hideMark/>
          </w:tcPr>
          <w:p w:rsidR="00ED01AB" w:rsidRPr="00DC7A75" w:rsidRDefault="00ED01AB" w:rsidP="00DC7A75">
            <w:pPr>
              <w:widowControl/>
              <w:autoSpaceDE/>
              <w:autoSpaceDN/>
              <w:rPr>
                <w:color w:val="000000"/>
                <w:lang w:val="en-ID" w:eastAsia="en-ID" w:bidi="ar-SA"/>
              </w:rPr>
            </w:pPr>
            <w:r w:rsidRPr="00DC7A75">
              <w:rPr>
                <w:color w:val="000000"/>
                <w:lang w:val="en-ID" w:eastAsia="en-ID" w:bidi="ar-SA"/>
              </w:rPr>
              <w:t>NGO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D01AB" w:rsidRPr="00DC7A75" w:rsidRDefault="00ED01AB" w:rsidP="00DC7A75">
            <w:pPr>
              <w:widowControl/>
              <w:autoSpaceDE/>
              <w:autoSpaceDN/>
              <w:rPr>
                <w:color w:val="000000"/>
                <w:lang w:val="en-ID" w:eastAsia="en-ID" w:bidi="ar-SA"/>
              </w:rPr>
            </w:pPr>
            <w:r w:rsidRPr="00DC7A75">
              <w:rPr>
                <w:color w:val="000000"/>
                <w:lang w:val="en-ID" w:eastAsia="en-ID" w:bidi="ar-SA"/>
              </w:rPr>
              <w:t>IESR</w:t>
            </w:r>
          </w:p>
        </w:tc>
      </w:tr>
      <w:tr w:rsidR="00ED01AB" w:rsidRPr="00B06F67" w:rsidTr="00025980">
        <w:trPr>
          <w:trHeight w:val="300"/>
        </w:trPr>
        <w:tc>
          <w:tcPr>
            <w:tcW w:w="1984" w:type="dxa"/>
            <w:vMerge/>
            <w:tcBorders>
              <w:left w:val="single" w:sz="4" w:space="0" w:color="auto"/>
              <w:right w:val="single" w:sz="4" w:space="0" w:color="auto"/>
            </w:tcBorders>
            <w:shd w:val="clear" w:color="auto" w:fill="auto"/>
            <w:noWrap/>
            <w:vAlign w:val="bottom"/>
          </w:tcPr>
          <w:p w:rsidR="00ED01AB" w:rsidRPr="00DC7A75" w:rsidRDefault="00ED01AB" w:rsidP="00DC7A75">
            <w:pPr>
              <w:widowControl/>
              <w:autoSpaceDE/>
              <w:autoSpaceDN/>
              <w:rPr>
                <w:color w:val="000000"/>
                <w:lang w:val="en-ID" w:eastAsia="en-ID" w:bidi="ar-SA"/>
              </w:rPr>
            </w:pPr>
          </w:p>
        </w:tc>
        <w:tc>
          <w:tcPr>
            <w:tcW w:w="5670" w:type="dxa"/>
            <w:tcBorders>
              <w:top w:val="single" w:sz="4" w:space="0" w:color="auto"/>
              <w:left w:val="nil"/>
              <w:bottom w:val="single" w:sz="4" w:space="0" w:color="auto"/>
              <w:right w:val="single" w:sz="4" w:space="0" w:color="auto"/>
            </w:tcBorders>
            <w:shd w:val="clear" w:color="auto" w:fill="auto"/>
            <w:noWrap/>
            <w:vAlign w:val="bottom"/>
          </w:tcPr>
          <w:p w:rsidR="00ED01AB" w:rsidRPr="00DC7A75" w:rsidRDefault="00ED01AB" w:rsidP="00DC7A75">
            <w:pPr>
              <w:widowControl/>
              <w:autoSpaceDE/>
              <w:autoSpaceDN/>
              <w:rPr>
                <w:color w:val="000000"/>
                <w:lang w:val="id-ID" w:eastAsia="en-ID" w:bidi="ar-SA"/>
              </w:rPr>
            </w:pPr>
            <w:r w:rsidRPr="00DC7A75">
              <w:rPr>
                <w:color w:val="000000"/>
                <w:lang w:val="id-ID" w:eastAsia="en-ID" w:bidi="ar-SA"/>
              </w:rPr>
              <w:t>METI Ketua</w:t>
            </w:r>
          </w:p>
        </w:tc>
      </w:tr>
      <w:tr w:rsidR="00ED01AB" w:rsidRPr="00B06F67" w:rsidTr="00025980">
        <w:trPr>
          <w:trHeight w:val="300"/>
        </w:trPr>
        <w:tc>
          <w:tcPr>
            <w:tcW w:w="1984" w:type="dxa"/>
            <w:vMerge/>
            <w:tcBorders>
              <w:left w:val="single" w:sz="4" w:space="0" w:color="auto"/>
              <w:bottom w:val="single" w:sz="4" w:space="0" w:color="auto"/>
              <w:right w:val="single" w:sz="4" w:space="0" w:color="auto"/>
            </w:tcBorders>
            <w:shd w:val="clear" w:color="auto" w:fill="auto"/>
            <w:noWrap/>
            <w:vAlign w:val="bottom"/>
          </w:tcPr>
          <w:p w:rsidR="00ED01AB" w:rsidRPr="00DC7A75" w:rsidRDefault="00ED01AB" w:rsidP="00DC7A75">
            <w:pPr>
              <w:widowControl/>
              <w:autoSpaceDE/>
              <w:autoSpaceDN/>
              <w:rPr>
                <w:color w:val="000000"/>
                <w:lang w:val="en-ID" w:eastAsia="en-ID" w:bidi="ar-SA"/>
              </w:rPr>
            </w:pPr>
          </w:p>
        </w:tc>
        <w:tc>
          <w:tcPr>
            <w:tcW w:w="5670" w:type="dxa"/>
            <w:tcBorders>
              <w:top w:val="single" w:sz="4" w:space="0" w:color="auto"/>
              <w:left w:val="nil"/>
              <w:bottom w:val="single" w:sz="4" w:space="0" w:color="auto"/>
              <w:right w:val="single" w:sz="4" w:space="0" w:color="auto"/>
            </w:tcBorders>
            <w:shd w:val="clear" w:color="auto" w:fill="auto"/>
            <w:noWrap/>
            <w:vAlign w:val="bottom"/>
          </w:tcPr>
          <w:p w:rsidR="00ED01AB" w:rsidRPr="00DC7A75" w:rsidRDefault="00ED01AB" w:rsidP="00DC7A75">
            <w:pPr>
              <w:widowControl/>
              <w:autoSpaceDE/>
              <w:autoSpaceDN/>
              <w:rPr>
                <w:color w:val="000000"/>
                <w:lang w:val="id-ID" w:eastAsia="en-ID" w:bidi="ar-SA"/>
              </w:rPr>
            </w:pPr>
            <w:r w:rsidRPr="00DC7A75">
              <w:rPr>
                <w:color w:val="000000"/>
                <w:lang w:val="id-ID" w:eastAsia="en-ID" w:bidi="ar-SA"/>
              </w:rPr>
              <w:t>METI Wakil Ketua</w:t>
            </w:r>
          </w:p>
        </w:tc>
      </w:tr>
    </w:tbl>
    <w:p w:rsidR="00B06F67" w:rsidRPr="00B06F67" w:rsidRDefault="00B06F67" w:rsidP="00B06F67">
      <w:pPr>
        <w:widowControl/>
        <w:spacing w:after="160" w:line="480" w:lineRule="auto"/>
        <w:ind w:leftChars="99" w:left="220" w:hanging="2"/>
        <w:jc w:val="both"/>
        <w:rPr>
          <w:rFonts w:eastAsia="Calibri"/>
          <w:sz w:val="24"/>
          <w:szCs w:val="24"/>
          <w:lang w:val="id-ID" w:eastAsia="zh-CN" w:bidi="ar"/>
        </w:rPr>
      </w:pPr>
    </w:p>
    <w:p w:rsidR="00351652" w:rsidRPr="00B06F67" w:rsidRDefault="00351652" w:rsidP="00B06F67">
      <w:pPr>
        <w:spacing w:line="480" w:lineRule="auto"/>
        <w:rPr>
          <w:sz w:val="24"/>
          <w:szCs w:val="24"/>
        </w:rPr>
      </w:pPr>
    </w:p>
    <w:sectPr w:rsidR="00351652" w:rsidRPr="00B06F67" w:rsidSect="00FF755C">
      <w:headerReference w:type="default" r:id="rId8"/>
      <w:footerReference w:type="default" r:id="rId9"/>
      <w:pgSz w:w="11906" w:h="16838"/>
      <w:pgMar w:top="1701" w:right="1701" w:bottom="1701" w:left="2268" w:header="708" w:footer="708"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909" w:rsidRDefault="00ED1909" w:rsidP="00B06F67">
      <w:r>
        <w:separator/>
      </w:r>
    </w:p>
  </w:endnote>
  <w:endnote w:type="continuationSeparator" w:id="0">
    <w:p w:rsidR="00ED1909" w:rsidRDefault="00ED1909" w:rsidP="00B0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439161"/>
      <w:docPartObj>
        <w:docPartGallery w:val="Page Numbers (Bottom of Page)"/>
        <w:docPartUnique/>
      </w:docPartObj>
    </w:sdtPr>
    <w:sdtEndPr>
      <w:rPr>
        <w:noProof/>
      </w:rPr>
    </w:sdtEndPr>
    <w:sdtContent>
      <w:p w:rsidR="00FF755C" w:rsidRDefault="00FF755C">
        <w:pPr>
          <w:pStyle w:val="Footer"/>
          <w:jc w:val="center"/>
        </w:pPr>
        <w:r>
          <w:fldChar w:fldCharType="begin"/>
        </w:r>
        <w:r>
          <w:instrText xml:space="preserve"> PAGE   \* MERGEFORMAT </w:instrText>
        </w:r>
        <w:r>
          <w:fldChar w:fldCharType="separate"/>
        </w:r>
        <w:r w:rsidR="00ED01AB">
          <w:rPr>
            <w:noProof/>
          </w:rPr>
          <w:t>34</w:t>
        </w:r>
        <w:r>
          <w:rPr>
            <w:noProof/>
          </w:rPr>
          <w:fldChar w:fldCharType="end"/>
        </w:r>
      </w:p>
    </w:sdtContent>
  </w:sdt>
  <w:p w:rsidR="00FF755C" w:rsidRDefault="00FF7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909" w:rsidRDefault="00ED1909" w:rsidP="00B06F67">
      <w:r>
        <w:separator/>
      </w:r>
    </w:p>
  </w:footnote>
  <w:footnote w:type="continuationSeparator" w:id="0">
    <w:p w:rsidR="00ED1909" w:rsidRDefault="00ED1909" w:rsidP="00B0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F67" w:rsidRPr="00B06F67" w:rsidRDefault="00B06F67">
    <w:pPr>
      <w:pStyle w:val="Header"/>
      <w:pBdr>
        <w:bottom w:val="single" w:sz="4" w:space="8" w:color="5B9BD5" w:themeColor="accent1"/>
      </w:pBdr>
      <w:spacing w:after="360"/>
      <w:contextualSpacing/>
      <w:jc w:val="right"/>
      <w:rPr>
        <w:i/>
        <w:color w:val="404040" w:themeColor="text1" w:themeTint="BF"/>
        <w:sz w:val="24"/>
        <w:szCs w:val="24"/>
      </w:rPr>
    </w:pPr>
    <w:r w:rsidRPr="00B06F67">
      <w:rPr>
        <w:i/>
        <w:color w:val="404040" w:themeColor="text1" w:themeTint="BF"/>
        <w:sz w:val="24"/>
        <w:szCs w:val="24"/>
        <w:lang w:val="id-ID"/>
      </w:rPr>
      <w:t>Bab</w:t>
    </w:r>
    <w:sdt>
      <w:sdtPr>
        <w:rPr>
          <w:i/>
          <w:color w:val="404040" w:themeColor="text1" w:themeTint="BF"/>
          <w:sz w:val="24"/>
          <w:szCs w:val="24"/>
        </w:rPr>
        <w:alias w:val="Title"/>
        <w:tag w:val=""/>
        <w:id w:val="942040131"/>
        <w:placeholder>
          <w:docPart w:val="4348802FF46541CAB1DFFAA76DDB9EF3"/>
        </w:placeholder>
        <w:dataBinding w:prefixMappings="xmlns:ns0='http://purl.org/dc/elements/1.1/' xmlns:ns1='http://schemas.openxmlformats.org/package/2006/metadata/core-properties' " w:xpath="/ns1:coreProperties[1]/ns0:title[1]" w:storeItemID="{6C3C8BC8-F283-45AE-878A-BAB7291924A1}"/>
        <w:text/>
      </w:sdtPr>
      <w:sdtEndPr/>
      <w:sdtContent>
        <w:r w:rsidR="008325CF">
          <w:rPr>
            <w:i/>
            <w:color w:val="404040" w:themeColor="text1" w:themeTint="BF"/>
            <w:sz w:val="24"/>
            <w:szCs w:val="24"/>
            <w:lang w:val="id-ID"/>
          </w:rPr>
          <w:t>3 Metodologi Penelitian</w:t>
        </w:r>
      </w:sdtContent>
    </w:sdt>
  </w:p>
  <w:p w:rsidR="00B06F67" w:rsidRDefault="00B06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62E9B"/>
    <w:multiLevelType w:val="singleLevel"/>
    <w:tmpl w:val="5FD62E9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67"/>
    <w:rsid w:val="00012983"/>
    <w:rsid w:val="00052AAC"/>
    <w:rsid w:val="00266892"/>
    <w:rsid w:val="00351652"/>
    <w:rsid w:val="00370A00"/>
    <w:rsid w:val="0054175F"/>
    <w:rsid w:val="00724A37"/>
    <w:rsid w:val="0074725A"/>
    <w:rsid w:val="008325CF"/>
    <w:rsid w:val="00850653"/>
    <w:rsid w:val="008E5592"/>
    <w:rsid w:val="009C4C2E"/>
    <w:rsid w:val="00B06F67"/>
    <w:rsid w:val="00BC06E3"/>
    <w:rsid w:val="00DC7A75"/>
    <w:rsid w:val="00E879AD"/>
    <w:rsid w:val="00ED01AB"/>
    <w:rsid w:val="00ED1909"/>
    <w:rsid w:val="00FE424A"/>
    <w:rsid w:val="00FF75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BD47"/>
  <w15:chartTrackingRefBased/>
  <w15:docId w15:val="{F7DB130A-157C-4C03-A32A-1E68A169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06F67"/>
    <w:pPr>
      <w:widowControl w:val="0"/>
      <w:autoSpaceDE w:val="0"/>
      <w:autoSpaceDN w:val="0"/>
      <w:spacing w:after="0" w:line="240" w:lineRule="auto"/>
    </w:pPr>
    <w:rPr>
      <w:rFonts w:ascii="Times New Roman" w:eastAsia="Times New Roman" w:hAnsi="Times New Roman" w:cs="Times New Roman"/>
      <w:lang w:val="ca-ES" w:eastAsia="ca-ES" w:bidi="ca-ES"/>
    </w:rPr>
  </w:style>
  <w:style w:type="paragraph" w:styleId="Heading3">
    <w:name w:val="heading 3"/>
    <w:basedOn w:val="Normal"/>
    <w:next w:val="Normal"/>
    <w:link w:val="Heading3Char"/>
    <w:uiPriority w:val="1"/>
    <w:qFormat/>
    <w:rsid w:val="00B06F67"/>
    <w:pPr>
      <w:spacing w:before="78"/>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06F67"/>
    <w:rPr>
      <w:rFonts w:ascii="Times New Roman" w:eastAsia="Times New Roman" w:hAnsi="Times New Roman" w:cs="Times New Roman"/>
      <w:b/>
      <w:bCs/>
      <w:sz w:val="24"/>
      <w:szCs w:val="24"/>
      <w:lang w:val="ca-ES" w:eastAsia="ca-ES" w:bidi="ca-ES"/>
    </w:rPr>
  </w:style>
  <w:style w:type="paragraph" w:styleId="BodyText">
    <w:name w:val="Body Text"/>
    <w:basedOn w:val="Normal"/>
    <w:link w:val="BodyTextChar"/>
    <w:uiPriority w:val="1"/>
    <w:qFormat/>
    <w:rsid w:val="00B06F67"/>
    <w:rPr>
      <w:sz w:val="24"/>
      <w:szCs w:val="24"/>
    </w:rPr>
  </w:style>
  <w:style w:type="character" w:customStyle="1" w:styleId="BodyTextChar">
    <w:name w:val="Body Text Char"/>
    <w:basedOn w:val="DefaultParagraphFont"/>
    <w:link w:val="BodyText"/>
    <w:uiPriority w:val="1"/>
    <w:rsid w:val="00B06F67"/>
    <w:rPr>
      <w:rFonts w:ascii="Times New Roman" w:eastAsia="Times New Roman" w:hAnsi="Times New Roman" w:cs="Times New Roman"/>
      <w:sz w:val="24"/>
      <w:szCs w:val="24"/>
      <w:lang w:val="ca-ES" w:eastAsia="ca-ES" w:bidi="ca-ES"/>
    </w:rPr>
  </w:style>
  <w:style w:type="paragraph" w:styleId="Header">
    <w:name w:val="header"/>
    <w:basedOn w:val="Normal"/>
    <w:link w:val="HeaderChar"/>
    <w:uiPriority w:val="99"/>
    <w:unhideWhenUsed/>
    <w:rsid w:val="00B06F67"/>
    <w:pPr>
      <w:tabs>
        <w:tab w:val="center" w:pos="4513"/>
        <w:tab w:val="right" w:pos="9026"/>
      </w:tabs>
    </w:pPr>
  </w:style>
  <w:style w:type="character" w:customStyle="1" w:styleId="HeaderChar">
    <w:name w:val="Header Char"/>
    <w:basedOn w:val="DefaultParagraphFont"/>
    <w:link w:val="Header"/>
    <w:uiPriority w:val="99"/>
    <w:rsid w:val="00B06F67"/>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B06F67"/>
    <w:pPr>
      <w:tabs>
        <w:tab w:val="center" w:pos="4513"/>
        <w:tab w:val="right" w:pos="9026"/>
      </w:tabs>
    </w:pPr>
  </w:style>
  <w:style w:type="character" w:customStyle="1" w:styleId="FooterChar">
    <w:name w:val="Footer Char"/>
    <w:basedOn w:val="DefaultParagraphFont"/>
    <w:link w:val="Footer"/>
    <w:uiPriority w:val="99"/>
    <w:rsid w:val="00B06F67"/>
    <w:rPr>
      <w:rFonts w:ascii="Times New Roman" w:eastAsia="Times New Roman" w:hAnsi="Times New Roman" w:cs="Times New Roman"/>
      <w:lang w:val="ca-ES" w:eastAsia="ca-ES" w:bidi="ca-ES"/>
    </w:rPr>
  </w:style>
  <w:style w:type="paragraph" w:styleId="BalloonText">
    <w:name w:val="Balloon Text"/>
    <w:basedOn w:val="Normal"/>
    <w:link w:val="BalloonTextChar"/>
    <w:uiPriority w:val="99"/>
    <w:semiHidden/>
    <w:unhideWhenUsed/>
    <w:rsid w:val="00E87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AD"/>
    <w:rPr>
      <w:rFonts w:ascii="Segoe UI" w:eastAsia="Times New Roman" w:hAnsi="Segoe UI" w:cs="Segoe UI"/>
      <w:sz w:val="18"/>
      <w:szCs w:val="18"/>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48802FF46541CAB1DFFAA76DDB9EF3"/>
        <w:category>
          <w:name w:val="General"/>
          <w:gallery w:val="placeholder"/>
        </w:category>
        <w:types>
          <w:type w:val="bbPlcHdr"/>
        </w:types>
        <w:behaviors>
          <w:behavior w:val="content"/>
        </w:behaviors>
        <w:guid w:val="{1970D8AD-BBB5-4757-82C5-0DEB2C6D17BC}"/>
      </w:docPartPr>
      <w:docPartBody>
        <w:p w:rsidR="0073221D" w:rsidRDefault="00E86B7B" w:rsidP="00E86B7B">
          <w:pPr>
            <w:pStyle w:val="4348802FF46541CAB1DFFAA76DDB9EF3"/>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7B"/>
    <w:rsid w:val="0073221D"/>
    <w:rsid w:val="00E86B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48802FF46541CAB1DFFAA76DDB9EF3">
    <w:name w:val="4348802FF46541CAB1DFFAA76DDB9EF3"/>
    <w:rsid w:val="00E86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 Metodologi Penelitian</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Metodologi Penelitian</dc:title>
  <dc:subject/>
  <dc:creator>Windows User</dc:creator>
  <cp:keywords/>
  <dc:description/>
  <cp:lastModifiedBy>Windows User</cp:lastModifiedBy>
  <cp:revision>13</cp:revision>
  <cp:lastPrinted>2019-09-01T16:04:00Z</cp:lastPrinted>
  <dcterms:created xsi:type="dcterms:W3CDTF">2019-09-01T14:48:00Z</dcterms:created>
  <dcterms:modified xsi:type="dcterms:W3CDTF">2019-09-01T20:25:00Z</dcterms:modified>
</cp:coreProperties>
</file>