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D79" w:rsidRPr="00A31D79" w:rsidRDefault="00A31D79" w:rsidP="00A31D79">
      <w:pPr>
        <w:pStyle w:val="Heading3"/>
        <w:spacing w:line="480" w:lineRule="auto"/>
        <w:ind w:left="0" w:right="3" w:firstLine="35"/>
        <w:rPr>
          <w:rFonts w:ascii="Century Gothic" w:hAnsi="Century Gothic"/>
          <w:sz w:val="36"/>
          <w:szCs w:val="36"/>
        </w:rPr>
      </w:pPr>
      <w:r w:rsidRPr="00A31D79">
        <w:rPr>
          <w:rFonts w:ascii="Century Gothic" w:hAnsi="Century Gothic"/>
          <w:sz w:val="36"/>
          <w:szCs w:val="36"/>
        </w:rPr>
        <w:t xml:space="preserve">BAB 2 </w:t>
      </w:r>
    </w:p>
    <w:p w:rsidR="00A31D79" w:rsidRPr="00A31D79" w:rsidRDefault="00A31D79" w:rsidP="00A31D79">
      <w:pPr>
        <w:pStyle w:val="Heading3"/>
        <w:spacing w:before="0" w:line="480" w:lineRule="auto"/>
        <w:ind w:left="0" w:firstLine="35"/>
        <w:rPr>
          <w:rFonts w:ascii="Century Gothic" w:hAnsi="Century Gothic"/>
          <w:sz w:val="48"/>
          <w:szCs w:val="48"/>
        </w:rPr>
      </w:pPr>
      <w:r w:rsidRPr="00A31D79">
        <w:rPr>
          <w:rFonts w:ascii="Century Gothic" w:hAnsi="Century Gothic"/>
          <w:sz w:val="48"/>
          <w:szCs w:val="48"/>
        </w:rPr>
        <w:t>TINJAUAN PUSTAKA</w:t>
      </w:r>
    </w:p>
    <w:p w:rsidR="00A31D79" w:rsidRPr="00667E6E" w:rsidRDefault="00A31D79" w:rsidP="00A31D79">
      <w:pPr>
        <w:pStyle w:val="ListParagraph"/>
        <w:numPr>
          <w:ilvl w:val="1"/>
          <w:numId w:val="8"/>
        </w:numPr>
        <w:tabs>
          <w:tab w:val="left" w:pos="581"/>
        </w:tabs>
        <w:spacing w:before="90" w:line="480" w:lineRule="auto"/>
        <w:jc w:val="both"/>
        <w:rPr>
          <w:b/>
          <w:sz w:val="28"/>
          <w:szCs w:val="28"/>
        </w:rPr>
      </w:pPr>
      <w:r w:rsidRPr="00667E6E">
        <w:rPr>
          <w:b/>
          <w:sz w:val="28"/>
          <w:szCs w:val="28"/>
        </w:rPr>
        <w:t>Perubahan</w:t>
      </w:r>
      <w:r w:rsidRPr="00667E6E">
        <w:rPr>
          <w:b/>
          <w:spacing w:val="-1"/>
          <w:sz w:val="28"/>
          <w:szCs w:val="28"/>
        </w:rPr>
        <w:t xml:space="preserve"> </w:t>
      </w:r>
      <w:r w:rsidRPr="00667E6E">
        <w:rPr>
          <w:b/>
          <w:sz w:val="28"/>
          <w:szCs w:val="28"/>
        </w:rPr>
        <w:t>Iklim</w:t>
      </w:r>
    </w:p>
    <w:p w:rsidR="00A31D79" w:rsidRPr="00251E20" w:rsidRDefault="00A31D79" w:rsidP="00A31D79">
      <w:pPr>
        <w:pStyle w:val="BodyText"/>
        <w:spacing w:line="480" w:lineRule="auto"/>
        <w:ind w:left="220" w:right="218" w:firstLine="718"/>
        <w:jc w:val="both"/>
        <w:rPr>
          <w:lang w:val="id-ID"/>
        </w:rPr>
      </w:pPr>
      <w:r w:rsidRPr="00A31D79">
        <w:t>Suhu rata-rata bumi mulai memanas sejak dimulainya era Revolusi Industri pada 1880, hingga 2015. Pada periode tersebut, rata-rata suhu permukaan bumi secara global sudah naik 0,9 deraja</w:t>
      </w:r>
      <w:r w:rsidRPr="00A31D79">
        <w:rPr>
          <w:lang w:val="id-ID"/>
        </w:rPr>
        <w:t>t</w:t>
      </w:r>
      <w:r w:rsidRPr="00A31D79">
        <w:t xml:space="preserve"> celcius. Hingga 2020 mendatang rata-rata kenaikan temperatur bumi bisa mencapai 1 deraja</w:t>
      </w:r>
      <w:r w:rsidRPr="00A31D79">
        <w:rPr>
          <w:lang w:val="id-ID"/>
        </w:rPr>
        <w:t>t</w:t>
      </w:r>
      <w:r w:rsidRPr="00A31D79">
        <w:t xml:space="preserve"> celcius (Henderson</w:t>
      </w:r>
      <w:r w:rsidRPr="00A31D79">
        <w:rPr>
          <w:lang w:val="id-ID"/>
        </w:rPr>
        <w:t>,</w:t>
      </w:r>
      <w:r w:rsidRPr="00A31D79">
        <w:t xml:space="preserve"> 201</w:t>
      </w:r>
      <w:r w:rsidRPr="00A31D79">
        <w:rPr>
          <w:lang w:val="id-ID"/>
        </w:rPr>
        <w:t>6</w:t>
      </w:r>
      <w:r w:rsidRPr="00A31D79">
        <w:t>).</w:t>
      </w:r>
      <w:r w:rsidR="00251E20">
        <w:rPr>
          <w:lang w:val="id-ID"/>
        </w:rPr>
        <w:t xml:space="preserve"> </w:t>
      </w:r>
    </w:p>
    <w:p w:rsidR="00A31D79" w:rsidRPr="00A31D79" w:rsidRDefault="00A31D79" w:rsidP="00A31D79">
      <w:pPr>
        <w:pStyle w:val="Heading3"/>
        <w:spacing w:before="6" w:line="480" w:lineRule="auto"/>
        <w:jc w:val="both"/>
      </w:pPr>
      <w:r w:rsidRPr="00A31D79">
        <w:rPr>
          <w:lang w:val="id-ID"/>
        </w:rPr>
        <w:t xml:space="preserve">Gambar </w:t>
      </w:r>
      <w:r w:rsidRPr="00A31D79">
        <w:t>1. Indeks Temper</w:t>
      </w:r>
      <w:r w:rsidR="007C1E15">
        <w:t xml:space="preserve">atur Daratan dan Lautan Global </w:t>
      </w:r>
      <w:r w:rsidRPr="00A31D79">
        <w:t>1880-2015</w:t>
      </w:r>
    </w:p>
    <w:p w:rsidR="00A31D79" w:rsidRPr="00A31D79" w:rsidRDefault="00A31D79" w:rsidP="00A31D79">
      <w:pPr>
        <w:pStyle w:val="BodyText"/>
        <w:spacing w:before="2" w:line="480" w:lineRule="auto"/>
        <w:jc w:val="both"/>
        <w:rPr>
          <w:b/>
        </w:rPr>
      </w:pPr>
      <w:r w:rsidRPr="00A31D79">
        <w:rPr>
          <w:noProof/>
          <w:lang w:val="id-ID" w:eastAsia="id-ID" w:bidi="ar-SA"/>
        </w:rPr>
        <w:drawing>
          <wp:anchor distT="0" distB="0" distL="0" distR="0" simplePos="0" relativeHeight="251659264" behindDoc="0" locked="0" layoutInCell="1" allowOverlap="1" wp14:anchorId="13B8D2A7" wp14:editId="34760AAA">
            <wp:simplePos x="0" y="0"/>
            <wp:positionH relativeFrom="page">
              <wp:posOffset>1219200</wp:posOffset>
            </wp:positionH>
            <wp:positionV relativeFrom="paragraph">
              <wp:posOffset>222885</wp:posOffset>
            </wp:positionV>
            <wp:extent cx="5029835" cy="241935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7" cstate="print"/>
                    <a:stretch>
                      <a:fillRect/>
                    </a:stretch>
                  </pic:blipFill>
                  <pic:spPr>
                    <a:xfrm>
                      <a:off x="0" y="0"/>
                      <a:ext cx="5029760" cy="2419350"/>
                    </a:xfrm>
                    <a:prstGeom prst="rect">
                      <a:avLst/>
                    </a:prstGeom>
                  </pic:spPr>
                </pic:pic>
              </a:graphicData>
            </a:graphic>
          </wp:anchor>
        </w:drawing>
      </w:r>
    </w:p>
    <w:p w:rsidR="00A31D79" w:rsidRPr="008056CD" w:rsidRDefault="00A31D79" w:rsidP="008056CD">
      <w:pPr>
        <w:pStyle w:val="BodyText"/>
        <w:ind w:left="221" w:right="227"/>
        <w:jc w:val="center"/>
        <w:rPr>
          <w:i/>
          <w:sz w:val="22"/>
          <w:szCs w:val="22"/>
        </w:rPr>
      </w:pPr>
      <w:r w:rsidRPr="008056CD">
        <w:rPr>
          <w:i/>
          <w:sz w:val="22"/>
          <w:szCs w:val="22"/>
        </w:rPr>
        <w:t xml:space="preserve">Sumber: </w:t>
      </w:r>
      <w:r w:rsidRPr="008056CD">
        <w:rPr>
          <w:i/>
          <w:color w:val="212121"/>
          <w:sz w:val="22"/>
          <w:szCs w:val="22"/>
        </w:rPr>
        <w:t>Henderson, R., Reinert, S., Dekhtyar, P. and Migdal, A., 2016. Climate Change in 2016: Implications for Business. Harvard Business School, 14.</w:t>
      </w:r>
    </w:p>
    <w:p w:rsidR="00A31D79" w:rsidRPr="00A31D79" w:rsidRDefault="00A31D79" w:rsidP="00A31D79">
      <w:pPr>
        <w:spacing w:line="480" w:lineRule="auto"/>
        <w:ind w:left="220"/>
        <w:jc w:val="both"/>
        <w:rPr>
          <w:sz w:val="24"/>
          <w:szCs w:val="24"/>
        </w:rPr>
      </w:pPr>
      <w:r w:rsidRPr="00A31D79">
        <w:rPr>
          <w:sz w:val="24"/>
          <w:szCs w:val="24"/>
        </w:rPr>
        <w:t>.</w:t>
      </w:r>
    </w:p>
    <w:p w:rsidR="00A31D79" w:rsidRPr="00A31D79" w:rsidRDefault="00A31D79" w:rsidP="00A31D79">
      <w:pPr>
        <w:pStyle w:val="BodyText"/>
        <w:spacing w:line="480" w:lineRule="auto"/>
        <w:ind w:left="220" w:right="222" w:firstLine="718"/>
        <w:jc w:val="both"/>
        <w:rPr>
          <w:lang w:val="id-ID"/>
        </w:rPr>
      </w:pPr>
      <w:r w:rsidRPr="00A31D79">
        <w:t>Pemanasan suhu bumi ini disebabkan efek gas rumah kaca (GRK). Emisi GRK ditentukan dengan satuan</w:t>
      </w:r>
      <w:r w:rsidR="00251E20">
        <w:rPr>
          <w:lang w:val="id-ID"/>
        </w:rPr>
        <w:t xml:space="preserve"> karbon dioksida ekuivalen</w:t>
      </w:r>
      <w:r w:rsidRPr="00A31D79">
        <w:t xml:space="preserve"> </w:t>
      </w:r>
      <w:r w:rsidR="00251E20">
        <w:rPr>
          <w:lang w:val="id-ID"/>
        </w:rPr>
        <w:t>(</w:t>
      </w:r>
      <w:r w:rsidRPr="00A31D79">
        <w:t>CO2eq</w:t>
      </w:r>
      <w:r w:rsidR="00251E20">
        <w:rPr>
          <w:lang w:val="id-ID"/>
        </w:rPr>
        <w:t>)</w:t>
      </w:r>
      <w:r w:rsidRPr="00A31D79">
        <w:t xml:space="preserve">. </w:t>
      </w:r>
      <w:r w:rsidR="00667E6E">
        <w:rPr>
          <w:lang w:val="id-ID"/>
        </w:rPr>
        <w:t>S</w:t>
      </w:r>
      <w:r w:rsidRPr="00A31D79">
        <w:t>ejak tahun 1880 konsentrasi CO2eq di atmosfer sudah naik 290 part per million (ppm) hingga 430 ppm</w:t>
      </w:r>
      <w:r w:rsidR="00667E6E">
        <w:rPr>
          <w:lang w:val="id-ID"/>
        </w:rPr>
        <w:t xml:space="preserve"> (lihat Gambar 1)</w:t>
      </w:r>
      <w:r w:rsidRPr="00A31D79">
        <w:t xml:space="preserve">. Menurut Intergovernmental </w:t>
      </w:r>
      <w:r w:rsidRPr="00A31D79">
        <w:lastRenderedPageBreak/>
        <w:t>Panel on Climate Change (IPCC), hingga 2030 mendatang konsentrasi CO2eq akan mencapai 500 ppm (IPCC, 2014)</w:t>
      </w:r>
      <w:r w:rsidRPr="00A31D79">
        <w:rPr>
          <w:lang w:val="id-ID"/>
        </w:rPr>
        <w:t xml:space="preserve">. </w:t>
      </w:r>
    </w:p>
    <w:p w:rsidR="00A31D79" w:rsidRPr="00A31D79" w:rsidRDefault="00A31D79" w:rsidP="00A31D79">
      <w:pPr>
        <w:pStyle w:val="BodyText"/>
        <w:spacing w:line="480" w:lineRule="auto"/>
        <w:ind w:left="220" w:right="222" w:firstLine="718"/>
        <w:jc w:val="both"/>
        <w:rPr>
          <w:lang w:val="id-ID"/>
        </w:rPr>
      </w:pPr>
      <w:r w:rsidRPr="00A31D79">
        <w:t>Dampak perubahan iklim yang terjadi yakni naiknya level permukaan air laut, yang disebabkan oleh dua hal yakni melelehnya es di kutub serta meluasnya lautan karena menghangat. Hingga tahun 2100, diperkirakan permukaan air laut akan naik 2 meter</w:t>
      </w:r>
      <w:r w:rsidRPr="00A31D79">
        <w:rPr>
          <w:lang w:val="id-ID"/>
        </w:rPr>
        <w:t xml:space="preserve">. </w:t>
      </w:r>
      <w:r w:rsidRPr="00A31D79">
        <w:t>Hingga 2050, diperkirakan antara 665.000 hingga 1,7 juta masyarakat di wilayah Pasifik terpaksa bermigrasi akibat naiknya level permukaan air laut, terutama untuk negara kepulauan seperti Fiji, Marshall Island dan Tuvalu (Henderso</w:t>
      </w:r>
      <w:r w:rsidRPr="00A31D79">
        <w:rPr>
          <w:lang w:val="id-ID"/>
        </w:rPr>
        <w:t xml:space="preserve">n, </w:t>
      </w:r>
      <w:r w:rsidRPr="00A31D79">
        <w:t>201</w:t>
      </w:r>
      <w:r w:rsidRPr="00A31D79">
        <w:rPr>
          <w:lang w:val="id-ID"/>
        </w:rPr>
        <w:t>6</w:t>
      </w:r>
      <w:r w:rsidRPr="00A31D79">
        <w:t>).</w:t>
      </w:r>
      <w:r w:rsidRPr="00A31D79">
        <w:rPr>
          <w:lang w:val="id-ID"/>
        </w:rPr>
        <w:t xml:space="preserve"> </w:t>
      </w:r>
    </w:p>
    <w:p w:rsidR="00A31D79" w:rsidRPr="00A31D79" w:rsidRDefault="00A31D79" w:rsidP="00A31D79">
      <w:pPr>
        <w:pStyle w:val="BodyText"/>
        <w:spacing w:line="480" w:lineRule="auto"/>
        <w:ind w:left="220" w:right="222" w:firstLine="718"/>
        <w:jc w:val="both"/>
        <w:rPr>
          <w:lang w:val="id-ID"/>
        </w:rPr>
      </w:pPr>
      <w:r w:rsidRPr="00A31D79">
        <w:t>Dampak perubahan iklim lainnya seperti perubahan pola cuaca dan cuaca ekstrim. Peningkatan suhu akibat semakin panasnya bumi akan mengubah pola cuaca dan menghasilkan cuaca ekstrim. Kecenderungannya adalah, daerah kering akan semakin kering dan daerah basah akan semakin basah (Murdiyarso, 2003).</w:t>
      </w:r>
      <w:r w:rsidRPr="00A31D79">
        <w:rPr>
          <w:lang w:val="id-ID"/>
        </w:rPr>
        <w:t xml:space="preserve"> </w:t>
      </w:r>
    </w:p>
    <w:p w:rsidR="00A31D79" w:rsidRPr="00A31D79" w:rsidRDefault="00A31D79" w:rsidP="00A31D79">
      <w:pPr>
        <w:pStyle w:val="BodyText"/>
        <w:spacing w:line="480" w:lineRule="auto"/>
        <w:ind w:left="220" w:right="222" w:firstLine="718"/>
        <w:jc w:val="both"/>
        <w:rPr>
          <w:lang w:val="id-ID"/>
        </w:rPr>
      </w:pPr>
      <w:r w:rsidRPr="00A31D79">
        <w:t>Perubahan iklim juga berimbas pada produksi pangan dan ketersediaan air bersih. Menurut riset Food and Agriculture Organization of the United Nations, “Climate Change, Water and Food Security”, pada 2014 hanya 16 persen dari ladang pertanian mendapatkan irigasi atau pengairan.</w:t>
      </w:r>
      <w:r w:rsidRPr="00A31D79">
        <w:rPr>
          <w:lang w:val="id-ID"/>
        </w:rPr>
        <w:t xml:space="preserve"> </w:t>
      </w:r>
      <w:r w:rsidRPr="00A31D79">
        <w:t>Perubahan iklim juga dikaitkan dengan naiknya ketidakstabilan politik secara global. Contohnya di Argentina, Haiti, India, harga pangan yang melonjak tajam pada 2007-2008 mendorong terjadinya kerusuhan. Perang sipil di Somalia dan Syria juga terjadi karena kekeringan berkepanjangan dan kelaparan parah akibat perubahan iklim. (Henderson, 201</w:t>
      </w:r>
      <w:r w:rsidRPr="00A31D79">
        <w:rPr>
          <w:lang w:val="id-ID"/>
        </w:rPr>
        <w:t>6</w:t>
      </w:r>
      <w:r w:rsidRPr="00A31D79">
        <w:t>).</w:t>
      </w:r>
      <w:r w:rsidRPr="00A31D79">
        <w:rPr>
          <w:lang w:val="id-ID"/>
        </w:rPr>
        <w:t xml:space="preserve"> </w:t>
      </w:r>
    </w:p>
    <w:p w:rsidR="00A31D79" w:rsidRPr="00A31D79" w:rsidRDefault="00A31D79" w:rsidP="00A31D79">
      <w:pPr>
        <w:pStyle w:val="BodyText"/>
        <w:spacing w:line="480" w:lineRule="auto"/>
        <w:ind w:left="220" w:right="222" w:firstLine="718"/>
        <w:jc w:val="both"/>
      </w:pPr>
      <w:r w:rsidRPr="00A31D79">
        <w:t xml:space="preserve">Temperatur yang semakin tinggi meningkatkan kemungkinan sakit dan </w:t>
      </w:r>
      <w:r w:rsidRPr="00A31D79">
        <w:lastRenderedPageBreak/>
        <w:t>kematian akibat panas. Data Organisasi Kesehatan Dunia (WHO) pada 2012 menyebutkan 7 juta orang meninggal akibat polusi udara (Henderson,</w:t>
      </w:r>
      <w:r w:rsidRPr="00A31D79">
        <w:rPr>
          <w:spacing w:val="-1"/>
        </w:rPr>
        <w:t xml:space="preserve"> </w:t>
      </w:r>
      <w:r w:rsidRPr="00A31D79">
        <w:t>201</w:t>
      </w:r>
      <w:r w:rsidRPr="00A31D79">
        <w:rPr>
          <w:lang w:val="id-ID"/>
        </w:rPr>
        <w:t>6</w:t>
      </w:r>
      <w:r w:rsidRPr="00A31D79">
        <w:t>).</w:t>
      </w:r>
    </w:p>
    <w:p w:rsidR="00A31D79" w:rsidRPr="00A31D79" w:rsidRDefault="00A31D79" w:rsidP="00A31D79">
      <w:pPr>
        <w:pStyle w:val="BodyText"/>
        <w:spacing w:line="480" w:lineRule="auto"/>
        <w:ind w:left="220" w:right="222" w:firstLine="718"/>
        <w:jc w:val="both"/>
        <w:rPr>
          <w:lang w:val="id-ID"/>
        </w:rPr>
      </w:pPr>
      <w:r w:rsidRPr="00A31D79">
        <w:rPr>
          <w:lang w:val="id-ID"/>
        </w:rPr>
        <w:t xml:space="preserve">Sementara World Bank dalam kajiannya memetakan sejumlah dampak perubahan iklim khususnya di wilayah Asia Tenggara dengan skema pemanasan antara 1,5 derajat celcius pada 2030 sampai 4 derajat celcius pada 2080. Menurut World Bank, pemanasan secara regional di kawasan Asia Tenggara membuat adanya panas ekstrem, hujan deras ekstrem, hingga kekeringan. Kemudian, terjadi angin puting beliung, naiknya level permukaan air laut yang berimbas pada abrasi pantai, banjir rob dan kurangnya air bersih. Dampak di ekosistem yakni rusaknya terumbu karang serta menghangatnya laut membuat produksi ikan bisa menurun. </w:t>
      </w:r>
    </w:p>
    <w:p w:rsidR="00A31D79" w:rsidRPr="00A31D79" w:rsidRDefault="00A31D79" w:rsidP="00A31D79">
      <w:pPr>
        <w:pStyle w:val="BodyText"/>
        <w:spacing w:line="480" w:lineRule="auto"/>
        <w:ind w:left="220" w:right="222" w:firstLine="718"/>
        <w:jc w:val="both"/>
        <w:rPr>
          <w:lang w:val="id-ID"/>
        </w:rPr>
      </w:pPr>
      <w:r w:rsidRPr="00A31D79">
        <w:rPr>
          <w:lang w:val="id-ID"/>
        </w:rPr>
        <w:t xml:space="preserve">Dampak lain yakni meningkatnya kemiskinan 5 persen-11 persen </w:t>
      </w:r>
      <w:r w:rsidR="00251E20">
        <w:rPr>
          <w:lang w:val="id-ID"/>
        </w:rPr>
        <w:t>jika bumi menghangat 1,5 derajat</w:t>
      </w:r>
      <w:r w:rsidRPr="00A31D79">
        <w:rPr>
          <w:lang w:val="id-ID"/>
        </w:rPr>
        <w:t xml:space="preserve"> celcius pada kurun waktu 2010-2039 dibanding 1961-1990. Serta dampak pada sektor pariwisata, terutama di Thailand, Indonesia, Filipina, Myanmar, Kamboja, yakni akibat naiknya permukaan air laut, cuaca ekstrem dan hilangnya keanekaragaman hayati. </w:t>
      </w:r>
    </w:p>
    <w:p w:rsidR="00A31D79" w:rsidRPr="00667E6E" w:rsidRDefault="00A31D79" w:rsidP="00A31D79">
      <w:pPr>
        <w:pStyle w:val="BodyText"/>
        <w:spacing w:line="480" w:lineRule="auto"/>
        <w:ind w:right="222" w:firstLineChars="100" w:firstLine="280"/>
        <w:jc w:val="both"/>
        <w:rPr>
          <w:b/>
          <w:bCs/>
          <w:sz w:val="28"/>
          <w:szCs w:val="28"/>
          <w:lang w:val="id-ID"/>
        </w:rPr>
      </w:pPr>
      <w:r w:rsidRPr="00667E6E">
        <w:rPr>
          <w:b/>
          <w:bCs/>
          <w:sz w:val="28"/>
          <w:szCs w:val="28"/>
          <w:lang w:val="id-ID"/>
        </w:rPr>
        <w:t xml:space="preserve">2.2 </w:t>
      </w:r>
      <w:r w:rsidR="00046A73">
        <w:rPr>
          <w:b/>
          <w:bCs/>
          <w:sz w:val="28"/>
          <w:szCs w:val="28"/>
          <w:lang w:val="id-ID"/>
        </w:rPr>
        <w:t>Pandangan S</w:t>
      </w:r>
      <w:r w:rsidRPr="00667E6E">
        <w:rPr>
          <w:b/>
          <w:bCs/>
          <w:sz w:val="28"/>
          <w:szCs w:val="28"/>
          <w:lang w:val="id-ID"/>
        </w:rPr>
        <w:t xml:space="preserve">keptis </w:t>
      </w:r>
      <w:r w:rsidR="00046A73">
        <w:rPr>
          <w:b/>
          <w:bCs/>
          <w:sz w:val="28"/>
          <w:szCs w:val="28"/>
          <w:lang w:val="id-ID"/>
        </w:rPr>
        <w:t>Perubahan I</w:t>
      </w:r>
      <w:r w:rsidRPr="00667E6E">
        <w:rPr>
          <w:b/>
          <w:bCs/>
          <w:sz w:val="28"/>
          <w:szCs w:val="28"/>
          <w:lang w:val="id-ID"/>
        </w:rPr>
        <w:t>klim</w:t>
      </w:r>
    </w:p>
    <w:p w:rsidR="00A31D79" w:rsidRPr="00A31D79" w:rsidRDefault="00A31D79" w:rsidP="00A31D79">
      <w:pPr>
        <w:pStyle w:val="BodyText"/>
        <w:spacing w:line="480" w:lineRule="auto"/>
        <w:ind w:left="142" w:right="222" w:firstLine="709"/>
        <w:jc w:val="both"/>
        <w:rPr>
          <w:lang w:val="id-ID"/>
        </w:rPr>
      </w:pPr>
      <w:r w:rsidRPr="00A31D79">
        <w:rPr>
          <w:lang w:val="id-ID"/>
        </w:rPr>
        <w:t xml:space="preserve">Namun tidak semua orang berpandangan bahwa telah terjadi adanya perubahan iklim. Ada sejumlah pendapat yang menyatakan bahwa perubahan iklim hanyalah agenda terselubung para aktivis lingkungan yang anti-industri, ilmuwan tertentu, jurnalis dan politisi. Sehingga data yang mereka kedepankan juga tidak bisa dipertanggungjawabkan. </w:t>
      </w:r>
    </w:p>
    <w:p w:rsidR="00A31D79" w:rsidRPr="00A31D79" w:rsidRDefault="00A31D79" w:rsidP="00A31D79">
      <w:pPr>
        <w:pStyle w:val="BodyText"/>
        <w:spacing w:line="480" w:lineRule="auto"/>
        <w:ind w:left="142" w:right="222" w:firstLine="851"/>
        <w:jc w:val="both"/>
        <w:rPr>
          <w:lang w:val="id-ID"/>
        </w:rPr>
      </w:pPr>
      <w:r w:rsidRPr="00A31D79">
        <w:rPr>
          <w:lang w:val="id-ID"/>
        </w:rPr>
        <w:t xml:space="preserve">Pendapat seperti ini bahkan muncul di TV dengan judul "The Great Global Warming Swindle" yang ditayangkan di Inggris pada 2007 (Boykoff and </w:t>
      </w:r>
      <w:r w:rsidRPr="00A31D79">
        <w:rPr>
          <w:lang w:val="id-ID"/>
        </w:rPr>
        <w:lastRenderedPageBreak/>
        <w:t>Boykoff, 2004; Hargreaves et al., 2003; Zehr, 2000).</w:t>
      </w:r>
    </w:p>
    <w:p w:rsidR="00A31D79" w:rsidRPr="00A31D79" w:rsidRDefault="00A31D79" w:rsidP="00A31D79">
      <w:pPr>
        <w:pStyle w:val="BodyText"/>
        <w:spacing w:line="480" w:lineRule="auto"/>
        <w:ind w:left="220" w:right="222" w:firstLine="718"/>
        <w:jc w:val="both"/>
        <w:rPr>
          <w:lang w:val="id-ID"/>
        </w:rPr>
      </w:pPr>
      <w:r w:rsidRPr="00A31D79">
        <w:rPr>
          <w:lang w:val="id-ID"/>
        </w:rPr>
        <w:t xml:space="preserve">Selain itu, pandangan anti perubahan iklim juga tidak setuju jika aktivitas manusialah yang menyebabkan terjadinya perubahan iklim. Sementara para aktor politik menjadi penyebab mengapa banyak terjadi pandangan skeptis akan perubahan iklim. Rendahnya pengetahuan masuarakat akan perubahan iklim juga membuat pandangan skpetis mengenai perubahan iklim (Lorraine Whitmarsh, 2010). </w:t>
      </w:r>
    </w:p>
    <w:p w:rsidR="00A31D79" w:rsidRPr="00A31D79" w:rsidRDefault="00A31D79" w:rsidP="00A31D79">
      <w:pPr>
        <w:pStyle w:val="BodyText"/>
        <w:spacing w:line="480" w:lineRule="auto"/>
        <w:ind w:left="220" w:right="222" w:firstLine="718"/>
        <w:jc w:val="both"/>
        <w:rPr>
          <w:lang w:val="id-ID"/>
        </w:rPr>
      </w:pPr>
      <w:r w:rsidRPr="00A31D79">
        <w:rPr>
          <w:lang w:val="id-ID"/>
        </w:rPr>
        <w:t xml:space="preserve">Selain itu, ada pandangan anti perubahan iklim yang menyatakan jikapun ada perubahan iklim itu, bukan karena aktivitas manusia sebab perubahan iklim hanyalah sebuah siklus alami (Gallup, 2010). Sementara para aktor politik menjadi penyebab mengapa banyak terjadi pandangan skeptis akan perubahan iklim. Rendahnya pengetahuan masyarakat akan perubahan iklim juga membuat pandangan skpetis mengenai perubahan iklim (Whitmarsh, 2010). Semakin tinggi sebuah negara menganut skeptisisme terhadap perubahan iklim, maka kewaspadaan akan lingkungan masyarakatnya juga akan semakin rendah (Tranter, B., &amp; Booth, K.,2015). </w:t>
      </w:r>
    </w:p>
    <w:p w:rsidR="00A31D79" w:rsidRPr="00667E6E" w:rsidRDefault="00A31D79" w:rsidP="00A31D79">
      <w:pPr>
        <w:pStyle w:val="Heading3"/>
        <w:tabs>
          <w:tab w:val="left" w:pos="941"/>
        </w:tabs>
        <w:spacing w:line="480" w:lineRule="auto"/>
        <w:jc w:val="both"/>
        <w:rPr>
          <w:sz w:val="28"/>
          <w:szCs w:val="28"/>
        </w:rPr>
      </w:pPr>
      <w:r w:rsidRPr="00667E6E">
        <w:rPr>
          <w:sz w:val="28"/>
          <w:szCs w:val="28"/>
          <w:lang w:val="id-ID"/>
        </w:rPr>
        <w:t>2.3 Respons Terhadap Pandangan Perubahan Iklim: Dari Protokol Kyoto hingga</w:t>
      </w:r>
      <w:r w:rsidRPr="00667E6E">
        <w:rPr>
          <w:sz w:val="28"/>
          <w:szCs w:val="28"/>
        </w:rPr>
        <w:t xml:space="preserve"> </w:t>
      </w:r>
      <w:r w:rsidRPr="00667E6E">
        <w:rPr>
          <w:sz w:val="28"/>
          <w:szCs w:val="28"/>
          <w:lang w:val="id-ID"/>
        </w:rPr>
        <w:t xml:space="preserve">Persetujuan </w:t>
      </w:r>
      <w:r w:rsidRPr="00667E6E">
        <w:rPr>
          <w:sz w:val="28"/>
          <w:szCs w:val="28"/>
        </w:rPr>
        <w:t>Paris</w:t>
      </w:r>
    </w:p>
    <w:p w:rsidR="00A31D79" w:rsidRPr="00A31D79" w:rsidRDefault="00A31D79" w:rsidP="00A31D79">
      <w:pPr>
        <w:pStyle w:val="BodyText"/>
        <w:spacing w:before="226" w:line="480" w:lineRule="auto"/>
        <w:ind w:left="220" w:right="217" w:firstLine="718"/>
        <w:jc w:val="both"/>
      </w:pPr>
      <w:r w:rsidRPr="00A31D79">
        <w:rPr>
          <w:lang w:val="id-ID"/>
        </w:rPr>
        <w:t xml:space="preserve">Walaupun ada pandangan yang skeptis terhadap isu perubahan iklim, namun masalah perubahan iklim tetap mendapatkan perhatian internasional, terutama efek dari gas rumah kaca (GRK). </w:t>
      </w:r>
      <w:r w:rsidRPr="00A31D79">
        <w:t xml:space="preserve">Pada COP ke-3 pada 1997, disepakati sebuah tata cara penurunan emisi GRK bernama Protokol Kyoto. Melalui Protokol </w:t>
      </w:r>
      <w:r w:rsidRPr="00A31D79">
        <w:rPr>
          <w:lang w:val="id-ID"/>
        </w:rPr>
        <w:t xml:space="preserve">Kyoto </w:t>
      </w:r>
      <w:r w:rsidRPr="00A31D79">
        <w:t xml:space="preserve">ini target penurunan emisi oleh negara-negara maju </w:t>
      </w:r>
      <w:r w:rsidRPr="00A31D79">
        <w:lastRenderedPageBreak/>
        <w:t>(Annex</w:t>
      </w:r>
      <w:r w:rsidRPr="00A31D79">
        <w:rPr>
          <w:lang w:val="id-ID"/>
        </w:rPr>
        <w:t xml:space="preserve"> </w:t>
      </w:r>
      <w:r w:rsidRPr="00A31D79">
        <w:t>1) dijadwalkan dan dilaksanakan melalui mekanisme yang transparan dalam periode 2008- 2012 sebesar 13,7 Gt (Murdiyarso, 2007).</w:t>
      </w:r>
    </w:p>
    <w:p w:rsidR="00A31D79" w:rsidRPr="00A31D79" w:rsidRDefault="00A31D79" w:rsidP="00A31D79">
      <w:pPr>
        <w:pStyle w:val="BodyText"/>
        <w:spacing w:line="480" w:lineRule="auto"/>
        <w:ind w:left="220" w:right="223" w:firstLine="718"/>
        <w:jc w:val="both"/>
        <w:rPr>
          <w:lang w:val="id-ID"/>
        </w:rPr>
      </w:pPr>
      <w:r w:rsidRPr="00A31D79">
        <w:t xml:space="preserve">Untuk mencapai target penurunan tersebut, ada tiga skema Protokol Kyoto yakni </w:t>
      </w:r>
      <w:r w:rsidRPr="00A31D79">
        <w:rPr>
          <w:i/>
          <w:iCs/>
        </w:rPr>
        <w:t>Joint Implementation</w:t>
      </w:r>
      <w:r w:rsidRPr="00A31D79">
        <w:t xml:space="preserve"> (JI), </w:t>
      </w:r>
      <w:r w:rsidRPr="00A31D79">
        <w:rPr>
          <w:i/>
          <w:iCs/>
        </w:rPr>
        <w:t>Clean Development Mechanism</w:t>
      </w:r>
      <w:r w:rsidRPr="00A31D79">
        <w:t xml:space="preserve"> (CDM), dan </w:t>
      </w:r>
      <w:r w:rsidRPr="00A31D79">
        <w:rPr>
          <w:i/>
          <w:iCs/>
        </w:rPr>
        <w:t>Emission Trading</w:t>
      </w:r>
      <w:r w:rsidRPr="00A31D79">
        <w:t xml:space="preserve"> (ET). CDM merupakan mekanisme yang bisa dilakukan antara negara maju dan negara berkembang. CDM ini merupakan penurunan emisi berbasis pasar. CDM memungkinkan negara maju berinvestasi di negara berkembang pada berbagai sektor untuk menurunkan target emisinya. (Murdiyarso,</w:t>
      </w:r>
      <w:r w:rsidRPr="00A31D79">
        <w:rPr>
          <w:spacing w:val="59"/>
        </w:rPr>
        <w:t xml:space="preserve"> </w:t>
      </w:r>
      <w:r w:rsidRPr="00A31D79">
        <w:t>2007).</w:t>
      </w:r>
      <w:r w:rsidRPr="00A31D79">
        <w:rPr>
          <w:lang w:val="id-ID"/>
        </w:rPr>
        <w:t xml:space="preserve"> </w:t>
      </w:r>
    </w:p>
    <w:p w:rsidR="00A31D79" w:rsidRPr="00A31D79" w:rsidRDefault="00A31D79" w:rsidP="00A31D79">
      <w:pPr>
        <w:pStyle w:val="BodyText"/>
        <w:spacing w:line="480" w:lineRule="auto"/>
        <w:ind w:left="220" w:right="223" w:firstLine="718"/>
        <w:jc w:val="both"/>
        <w:rPr>
          <w:lang w:val="id-ID"/>
        </w:rPr>
      </w:pPr>
      <w:r w:rsidRPr="00A31D79">
        <w:rPr>
          <w:lang w:val="id-ID"/>
        </w:rPr>
        <w:t xml:space="preserve">Dalam Protokol Kyoto ini, negara-negara berkembang disebutkan sebagai negara yang menanggung dampak perubahan iklim yang paling besar. Sementara negara maju harus bertanggungjawab karena sudah lama mengemisikan gas rumah kaca dalam jumlah besar yang menjadi penyebab terjadinya perubahan iklim. Oleh sebab itulah, negara majulah yang memiliki tanggungjawab menurunkan emisi, tidak dengan negara berkembang. Tidak heran jika negara-negara kepulauan dan negara miskin di Afrika Tangeh merupakan negara yang pertama-tama meratifikasi Protokol Kyoto ini (Murdiyarso, 2002). . </w:t>
      </w:r>
    </w:p>
    <w:p w:rsidR="00A31D79" w:rsidRPr="00A31D79" w:rsidRDefault="00A31D79" w:rsidP="00A31D79">
      <w:pPr>
        <w:pStyle w:val="BodyText"/>
        <w:spacing w:line="480" w:lineRule="auto"/>
        <w:ind w:left="220" w:right="223" w:firstLine="718"/>
        <w:jc w:val="both"/>
        <w:rPr>
          <w:lang w:val="id-ID"/>
        </w:rPr>
      </w:pPr>
      <w:r w:rsidRPr="00A31D79">
        <w:rPr>
          <w:lang w:val="id-ID"/>
        </w:rPr>
        <w:t xml:space="preserve">Namun salah satu negara maju yakni Amerika Serikat (AS) memiliki pandangan skeptis dalam hal lingkungan, sehingga memutuskan untuk menolak berpartisipasi dalam Protokol Kyoto. Pengurangan emisi di negara maju bisa berdampak pada keberlangsungan industri minyak di negara tersebut. AS juga tidak setuju jika negara berkembang dengan penduduk besar seperti China dan India dibebaskan dari kewajiban menurunkan emisi. AS juga </w:t>
      </w:r>
      <w:r w:rsidRPr="00A31D79">
        <w:rPr>
          <w:lang w:val="id-ID"/>
        </w:rPr>
        <w:lastRenderedPageBreak/>
        <w:t>berpandangan jika kebenaran ilmiah perubahan iklim dan cara pemecahannya didukung pemahaman ilmiah yang terbatas. Oleh sebab itu, AS melalui Presiden George W Bush menolak meratifikasi Protokol Kyoto ini pada 13 Maret 2011 (Murdiyarso, 2002).</w:t>
      </w:r>
    </w:p>
    <w:p w:rsidR="00A31D79" w:rsidRPr="00A31D79" w:rsidRDefault="00A31D79" w:rsidP="00A31D79">
      <w:pPr>
        <w:pStyle w:val="BodyText"/>
        <w:spacing w:line="480" w:lineRule="auto"/>
        <w:ind w:left="220" w:right="223" w:firstLine="718"/>
        <w:jc w:val="both"/>
        <w:rPr>
          <w:lang w:val="id-ID"/>
        </w:rPr>
      </w:pPr>
      <w:r w:rsidRPr="00A31D79">
        <w:t xml:space="preserve">Indonesia </w:t>
      </w:r>
      <w:r w:rsidRPr="00A31D79">
        <w:rPr>
          <w:lang w:val="id-ID"/>
        </w:rPr>
        <w:t>sendiri sebagai salah satu negara kepulauan menyadari dampak perubahan iklim ini. Indonesia kemudian</w:t>
      </w:r>
      <w:r w:rsidRPr="00A31D79">
        <w:t xml:space="preserve"> meratifikasi Protokol Kyoto pada tanggal 23 Juni 2004. </w:t>
      </w:r>
      <w:r w:rsidRPr="00A31D79">
        <w:rPr>
          <w:lang w:val="id-ID"/>
        </w:rPr>
        <w:t xml:space="preserve">Dengan meratifikasi protokol ini, Indonesia dan negara berkembang lain dapat merasakan manfaat menarik dana investasi untuk ko mpensasi pembatalan proyek-proyek dengan emisi GRK tinggi. Negara berkembang bia menentukan arah pembangunnanya berdasarkan pembangunan yang berkelanjutan dan ramah lingkungan. Ratifikasi ini juga menjadikan Indonesia tidak tertinggal dalam pergaulan internasional (Murdiyarso, 2002). </w:t>
      </w:r>
    </w:p>
    <w:p w:rsidR="00A31D79" w:rsidRPr="00A31D79" w:rsidRDefault="00A31D79" w:rsidP="00A31D79">
      <w:pPr>
        <w:pStyle w:val="BodyText"/>
        <w:spacing w:line="480" w:lineRule="auto"/>
        <w:ind w:left="220" w:right="223" w:firstLine="718"/>
        <w:jc w:val="both"/>
        <w:rPr>
          <w:lang w:val="id-ID"/>
        </w:rPr>
      </w:pPr>
      <w:r w:rsidRPr="00A31D79">
        <w:t>Proto</w:t>
      </w:r>
      <w:r w:rsidRPr="00A31D79">
        <w:rPr>
          <w:lang w:val="id-ID"/>
        </w:rPr>
        <w:t>k</w:t>
      </w:r>
      <w:r w:rsidRPr="00A31D79">
        <w:t>ol Kyoto ini baru berlaku pada 2005 (</w:t>
      </w:r>
      <w:r w:rsidRPr="00A31D79">
        <w:rPr>
          <w:i/>
          <w:iCs/>
        </w:rPr>
        <w:t>entry to force</w:t>
      </w:r>
      <w:r w:rsidRPr="00A31D79">
        <w:t>). Penyelenggaraan Proto</w:t>
      </w:r>
      <w:r w:rsidRPr="00A31D79">
        <w:rPr>
          <w:lang w:val="id-ID"/>
        </w:rPr>
        <w:t>k</w:t>
      </w:r>
      <w:r w:rsidRPr="00A31D79">
        <w:t xml:space="preserve">ol Kyoto sendiri berakhir pada 2012 dan diperpanjang hingga 2020 pada </w:t>
      </w:r>
      <w:r w:rsidR="00667E6E">
        <w:rPr>
          <w:lang w:val="id-ID"/>
        </w:rPr>
        <w:t>Conference of Parties (</w:t>
      </w:r>
      <w:r w:rsidRPr="00A31D79">
        <w:t>COP</w:t>
      </w:r>
      <w:r w:rsidR="00667E6E">
        <w:rPr>
          <w:lang w:val="id-ID"/>
        </w:rPr>
        <w:t>)</w:t>
      </w:r>
      <w:r w:rsidRPr="00A31D79">
        <w:t xml:space="preserve"> ke-18 di Doha, Qatar, pada Desember 2012. Namun negara-negara yang meratifikasinya lantaran negara dengan emisi karbon besar seperti Amerika Serikat tidak mau meratifikasi Protokol ini sehingga setelah 2020 Proto</w:t>
      </w:r>
      <w:r w:rsidRPr="00A31D79">
        <w:rPr>
          <w:lang w:val="id-ID"/>
        </w:rPr>
        <w:t>k</w:t>
      </w:r>
      <w:r w:rsidRPr="00A31D79">
        <w:t>ol Kyoto tidak lagi berlaku.</w:t>
      </w:r>
      <w:r w:rsidRPr="00A31D79">
        <w:rPr>
          <w:lang w:val="id-ID"/>
        </w:rPr>
        <w:t xml:space="preserve"> </w:t>
      </w:r>
    </w:p>
    <w:p w:rsidR="00A31D79" w:rsidRPr="00A31D79" w:rsidRDefault="00A31D79" w:rsidP="00A31D79">
      <w:pPr>
        <w:pStyle w:val="BodyText"/>
        <w:spacing w:line="480" w:lineRule="auto"/>
        <w:ind w:left="220" w:right="223" w:firstLine="718"/>
        <w:jc w:val="both"/>
        <w:rPr>
          <w:lang w:val="id-ID"/>
        </w:rPr>
      </w:pPr>
      <w:r w:rsidRPr="00A31D79">
        <w:t>Terobosan besar baru terjadi pada COP ke-21 di Paris, Perancis pada 30 November – 12 Desember 2015. Kesepakatan yang dikenal dengan</w:t>
      </w:r>
      <w:r w:rsidR="00251E20">
        <w:rPr>
          <w:lang w:val="id-ID"/>
        </w:rPr>
        <w:t xml:space="preserve"> Persetujuan Paris atau </w:t>
      </w:r>
      <w:r w:rsidRPr="00A31D79">
        <w:t xml:space="preserve"> </w:t>
      </w:r>
      <w:r w:rsidRPr="00A31D79">
        <w:rPr>
          <w:i/>
          <w:iCs/>
        </w:rPr>
        <w:t>Paris Agreement</w:t>
      </w:r>
      <w:r w:rsidRPr="00A31D79">
        <w:t xml:space="preserve"> diteken oleh 195 negara dan </w:t>
      </w:r>
      <w:r w:rsidRPr="00A31D79">
        <w:rPr>
          <w:i/>
          <w:iCs/>
        </w:rPr>
        <w:t>entry to force</w:t>
      </w:r>
      <w:r w:rsidRPr="00A31D79">
        <w:t xml:space="preserve"> pada November 2016 karena jumlah negara yang meratifikasinya sudah melebihi target minimal 55 negara yang mewakili 55% dari total emisi GRK </w:t>
      </w:r>
      <w:r w:rsidRPr="00A31D79">
        <w:lastRenderedPageBreak/>
        <w:t>global.</w:t>
      </w:r>
      <w:r w:rsidRPr="00A31D79">
        <w:rPr>
          <w:lang w:val="id-ID"/>
        </w:rPr>
        <w:t xml:space="preserve"> </w:t>
      </w:r>
    </w:p>
    <w:p w:rsidR="00A31D79" w:rsidRPr="00A31D79" w:rsidRDefault="00A31D79" w:rsidP="00A31D79">
      <w:pPr>
        <w:pStyle w:val="BodyText"/>
        <w:spacing w:line="480" w:lineRule="auto"/>
        <w:ind w:left="220" w:right="223" w:firstLine="718"/>
        <w:jc w:val="both"/>
        <w:rPr>
          <w:lang w:val="id-ID"/>
        </w:rPr>
      </w:pPr>
      <w:r w:rsidRPr="00A31D79">
        <w:t xml:space="preserve">Indonesia meratifikasi </w:t>
      </w:r>
      <w:r w:rsidRPr="00A31D79">
        <w:rPr>
          <w:lang w:val="id-ID"/>
        </w:rPr>
        <w:t xml:space="preserve">Persetujuan </w:t>
      </w:r>
      <w:r w:rsidRPr="00A31D79">
        <w:t xml:space="preserve">Paris dengan menerbitkan UU Nomor 16 tahun 2016 tentang Pengesahan </w:t>
      </w:r>
      <w:r w:rsidRPr="00A31D79">
        <w:rPr>
          <w:i/>
          <w:iCs/>
        </w:rPr>
        <w:t>Paris Agreement to the United Nations Framework Convention on</w:t>
      </w:r>
      <w:r w:rsidRPr="00A31D79">
        <w:rPr>
          <w:i/>
          <w:iCs/>
          <w:lang w:val="id-ID"/>
        </w:rPr>
        <w:t xml:space="preserve"> C</w:t>
      </w:r>
      <w:r w:rsidRPr="00A31D79">
        <w:rPr>
          <w:i/>
          <w:iCs/>
        </w:rPr>
        <w:t>limate Change</w:t>
      </w:r>
      <w:r w:rsidRPr="00A31D79">
        <w:t xml:space="preserve"> tertanggal 24 Oktober 2016. Ratifikasi ini dilakukan sebelum pelaksanaan COP ke-22 di Marakesh, Maroko, pada 7-18 November 2016</w:t>
      </w:r>
      <w:r w:rsidRPr="00A31D79">
        <w:rPr>
          <w:lang w:val="id-ID"/>
        </w:rPr>
        <w:t>.</w:t>
      </w:r>
    </w:p>
    <w:p w:rsidR="00A31D79" w:rsidRPr="00667E6E" w:rsidRDefault="00A31D79" w:rsidP="00A31D79">
      <w:pPr>
        <w:pStyle w:val="Heading3"/>
        <w:tabs>
          <w:tab w:val="left" w:pos="761"/>
        </w:tabs>
        <w:spacing w:before="1" w:line="480" w:lineRule="auto"/>
        <w:jc w:val="both"/>
        <w:rPr>
          <w:sz w:val="28"/>
          <w:szCs w:val="28"/>
          <w:highlight w:val="yellow"/>
          <w:lang w:val="id-ID"/>
        </w:rPr>
      </w:pPr>
      <w:r w:rsidRPr="00667E6E">
        <w:rPr>
          <w:sz w:val="28"/>
          <w:szCs w:val="28"/>
          <w:lang w:val="id-ID"/>
        </w:rPr>
        <w:t xml:space="preserve">2.4 Isi Persetujuan </w:t>
      </w:r>
      <w:r w:rsidRPr="00667E6E">
        <w:rPr>
          <w:sz w:val="28"/>
          <w:szCs w:val="28"/>
        </w:rPr>
        <w:t>Paris</w:t>
      </w:r>
      <w:r w:rsidRPr="00667E6E">
        <w:rPr>
          <w:spacing w:val="-1"/>
          <w:sz w:val="28"/>
          <w:szCs w:val="28"/>
        </w:rPr>
        <w:t xml:space="preserve"> </w:t>
      </w:r>
      <w:r w:rsidR="00046A73">
        <w:rPr>
          <w:spacing w:val="-1"/>
          <w:sz w:val="28"/>
          <w:szCs w:val="28"/>
          <w:lang w:val="id-ID"/>
        </w:rPr>
        <w:t>dan Riset Dunia T</w:t>
      </w:r>
      <w:r w:rsidRPr="00667E6E">
        <w:rPr>
          <w:spacing w:val="-1"/>
          <w:sz w:val="28"/>
          <w:szCs w:val="28"/>
          <w:lang w:val="id-ID"/>
        </w:rPr>
        <w:t>erkait Persetujuan Paris</w:t>
      </w:r>
    </w:p>
    <w:p w:rsidR="00A31D79" w:rsidRPr="00046A73" w:rsidRDefault="00A31D79" w:rsidP="00A31D79">
      <w:pPr>
        <w:pStyle w:val="BodyText"/>
        <w:spacing w:before="225" w:after="9" w:line="480" w:lineRule="auto"/>
        <w:ind w:left="220" w:right="215" w:firstLine="718"/>
        <w:jc w:val="both"/>
        <w:rPr>
          <w:lang w:val="id-ID"/>
        </w:rPr>
      </w:pPr>
      <w:r w:rsidRPr="00A31D79">
        <w:rPr>
          <w:lang w:val="id-ID"/>
        </w:rPr>
        <w:t>Persetujuan Paris</w:t>
      </w:r>
      <w:r w:rsidRPr="00A31D79">
        <w:t xml:space="preserve"> sendiri berisi kesepakatan global untuk menjaga suhu bumi di bawah 2 deraja</w:t>
      </w:r>
      <w:r w:rsidRPr="00A31D79">
        <w:rPr>
          <w:lang w:val="id-ID"/>
        </w:rPr>
        <w:t>t</w:t>
      </w:r>
      <w:r w:rsidRPr="00A31D79">
        <w:t xml:space="preserve"> celcius serta adanya komitmen global untuk mengurangi emisi gas rumah kaca (GRK) dalam rangka menjaga suhu bumi</w:t>
      </w:r>
      <w:r w:rsidRPr="00A31D79">
        <w:rPr>
          <w:spacing w:val="-6"/>
        </w:rPr>
        <w:t xml:space="preserve"> </w:t>
      </w:r>
      <w:r w:rsidRPr="00A31D79">
        <w:t>tersebut.</w:t>
      </w:r>
      <w:r w:rsidR="00046A73">
        <w:rPr>
          <w:lang w:val="id-ID"/>
        </w:rPr>
        <w:t xml:space="preserve"> Tabel 2 di bawah ini berisi materi pokok Persetujuan Paris: </w:t>
      </w:r>
    </w:p>
    <w:p w:rsidR="00A31D79" w:rsidRPr="00A31D79" w:rsidRDefault="002C245C" w:rsidP="00A31D79">
      <w:pPr>
        <w:pStyle w:val="BodyText"/>
        <w:spacing w:before="225" w:after="9" w:line="480" w:lineRule="auto"/>
        <w:ind w:left="220" w:right="215"/>
        <w:jc w:val="both"/>
        <w:rPr>
          <w:b/>
          <w:bCs/>
          <w:lang w:val="id-ID"/>
        </w:rPr>
      </w:pPr>
      <w:r>
        <w:rPr>
          <w:b/>
          <w:bCs/>
          <w:lang w:val="id-ID"/>
        </w:rPr>
        <w:t>Tabel 2. Materi P</w:t>
      </w:r>
      <w:r w:rsidR="00A31D79" w:rsidRPr="00A31D79">
        <w:rPr>
          <w:b/>
          <w:bCs/>
          <w:lang w:val="id-ID"/>
        </w:rPr>
        <w:t>okok Persetujuan Paris</w:t>
      </w:r>
    </w:p>
    <w:tbl>
      <w:tblPr>
        <w:tblW w:w="8100"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43"/>
        <w:gridCol w:w="6857"/>
      </w:tblGrid>
      <w:tr w:rsidR="00A31D79" w:rsidRPr="00A31D79" w:rsidTr="007301D6">
        <w:trPr>
          <w:trHeight w:val="551"/>
        </w:trPr>
        <w:tc>
          <w:tcPr>
            <w:tcW w:w="1243" w:type="dxa"/>
          </w:tcPr>
          <w:p w:rsidR="00A31D79" w:rsidRPr="00667E6E" w:rsidRDefault="00A31D79" w:rsidP="00667E6E">
            <w:pPr>
              <w:pStyle w:val="TableParagraph"/>
              <w:ind w:left="268"/>
              <w:jc w:val="both"/>
              <w:rPr>
                <w:b/>
              </w:rPr>
            </w:pPr>
            <w:r w:rsidRPr="00667E6E">
              <w:rPr>
                <w:b/>
              </w:rPr>
              <w:t>Article</w:t>
            </w:r>
          </w:p>
        </w:tc>
        <w:tc>
          <w:tcPr>
            <w:tcW w:w="6857" w:type="dxa"/>
          </w:tcPr>
          <w:p w:rsidR="00A31D79" w:rsidRPr="00667E6E" w:rsidRDefault="00A31D79" w:rsidP="00667E6E">
            <w:pPr>
              <w:pStyle w:val="TableParagraph"/>
              <w:ind w:left="2393"/>
              <w:jc w:val="both"/>
              <w:rPr>
                <w:b/>
                <w:lang w:val="id-ID"/>
              </w:rPr>
            </w:pPr>
            <w:r w:rsidRPr="00667E6E">
              <w:rPr>
                <w:b/>
              </w:rPr>
              <w:t xml:space="preserve">Materi Pokok </w:t>
            </w:r>
            <w:r w:rsidRPr="00667E6E">
              <w:rPr>
                <w:b/>
                <w:lang w:val="id-ID"/>
              </w:rPr>
              <w:t>Persetujuan Paris</w:t>
            </w:r>
          </w:p>
        </w:tc>
      </w:tr>
      <w:tr w:rsidR="00A31D79" w:rsidRPr="00A31D79" w:rsidTr="007301D6">
        <w:trPr>
          <w:trHeight w:val="827"/>
        </w:trPr>
        <w:tc>
          <w:tcPr>
            <w:tcW w:w="1243" w:type="dxa"/>
          </w:tcPr>
          <w:p w:rsidR="00A31D79" w:rsidRPr="00667E6E" w:rsidRDefault="00A31D79" w:rsidP="00667E6E">
            <w:pPr>
              <w:pStyle w:val="TableParagraph"/>
              <w:jc w:val="both"/>
            </w:pPr>
            <w:r w:rsidRPr="00667E6E">
              <w:t>article 3</w:t>
            </w:r>
          </w:p>
        </w:tc>
        <w:tc>
          <w:tcPr>
            <w:tcW w:w="6857" w:type="dxa"/>
          </w:tcPr>
          <w:p w:rsidR="00A31D79" w:rsidRPr="00667E6E" w:rsidRDefault="00A31D79" w:rsidP="00667E6E">
            <w:pPr>
              <w:pStyle w:val="TableParagraph"/>
              <w:ind w:left="105"/>
              <w:jc w:val="both"/>
            </w:pPr>
            <w:r w:rsidRPr="00667E6E">
              <w:t>Kewajiban masing-masing negara untuk menyampaikan kontribusi penurunan emisi GRK melalui NDC yang meningkat setiap periode, dan negara</w:t>
            </w:r>
            <w:r w:rsidRPr="00667E6E">
              <w:rPr>
                <w:lang w:val="id-ID"/>
              </w:rPr>
              <w:t xml:space="preserve"> </w:t>
            </w:r>
            <w:r w:rsidRPr="00667E6E">
              <w:t>berkembang perlu mendapatkan dukungan untuk meningkatkan ambisi tersebut</w:t>
            </w:r>
          </w:p>
        </w:tc>
      </w:tr>
      <w:tr w:rsidR="00A31D79" w:rsidRPr="00A31D79" w:rsidTr="007301D6">
        <w:trPr>
          <w:trHeight w:val="552"/>
        </w:trPr>
        <w:tc>
          <w:tcPr>
            <w:tcW w:w="1243" w:type="dxa"/>
          </w:tcPr>
          <w:p w:rsidR="00A31D79" w:rsidRPr="00667E6E" w:rsidRDefault="00A31D79" w:rsidP="00667E6E">
            <w:pPr>
              <w:pStyle w:val="TableParagraph"/>
              <w:jc w:val="both"/>
            </w:pPr>
            <w:r w:rsidRPr="00667E6E">
              <w:t>article 4</w:t>
            </w:r>
          </w:p>
        </w:tc>
        <w:tc>
          <w:tcPr>
            <w:tcW w:w="6857" w:type="dxa"/>
          </w:tcPr>
          <w:p w:rsidR="00A31D79" w:rsidRPr="00667E6E" w:rsidRDefault="00A31D79" w:rsidP="00667E6E">
            <w:pPr>
              <w:pStyle w:val="TableParagraph"/>
              <w:ind w:left="105"/>
              <w:jc w:val="both"/>
            </w:pPr>
            <w:r w:rsidRPr="00667E6E">
              <w:t>Komitmen Para Pihak melakukan upaya penurunan emisi GRK secepat mungkin</w:t>
            </w:r>
            <w:r w:rsidRPr="00667E6E">
              <w:rPr>
                <w:lang w:val="id-ID"/>
              </w:rPr>
              <w:t xml:space="preserve"> </w:t>
            </w:r>
            <w:r w:rsidRPr="00667E6E">
              <w:t>melalui aksi mitigasi</w:t>
            </w:r>
          </w:p>
        </w:tc>
      </w:tr>
      <w:tr w:rsidR="00A31D79" w:rsidRPr="00A31D79" w:rsidTr="007301D6">
        <w:trPr>
          <w:trHeight w:val="551"/>
        </w:trPr>
        <w:tc>
          <w:tcPr>
            <w:tcW w:w="1243" w:type="dxa"/>
          </w:tcPr>
          <w:p w:rsidR="00A31D79" w:rsidRPr="00667E6E" w:rsidRDefault="00A31D79" w:rsidP="00667E6E">
            <w:pPr>
              <w:pStyle w:val="TableParagraph"/>
              <w:jc w:val="both"/>
            </w:pPr>
            <w:r w:rsidRPr="00667E6E">
              <w:t>article 5</w:t>
            </w:r>
          </w:p>
        </w:tc>
        <w:tc>
          <w:tcPr>
            <w:tcW w:w="6857" w:type="dxa"/>
          </w:tcPr>
          <w:p w:rsidR="00A31D79" w:rsidRPr="00667E6E" w:rsidRDefault="00A31D79" w:rsidP="00667E6E">
            <w:pPr>
              <w:pStyle w:val="TableParagraph"/>
              <w:ind w:left="105"/>
              <w:jc w:val="both"/>
            </w:pPr>
            <w:r w:rsidRPr="00667E6E">
              <w:t>Pendekatan kebijakan dan insentif positif untuk aktivitas mitigasi sektor</w:t>
            </w:r>
            <w:r w:rsidRPr="00667E6E">
              <w:rPr>
                <w:lang w:val="id-ID"/>
              </w:rPr>
              <w:t xml:space="preserve"> </w:t>
            </w:r>
            <w:r w:rsidRPr="00667E6E">
              <w:t>kehutanan termasuk melalui pembayaran berbasis hasil – REDD+</w:t>
            </w:r>
          </w:p>
        </w:tc>
      </w:tr>
      <w:tr w:rsidR="00A31D79" w:rsidRPr="00A31D79" w:rsidTr="007301D6">
        <w:trPr>
          <w:trHeight w:val="554"/>
        </w:trPr>
        <w:tc>
          <w:tcPr>
            <w:tcW w:w="1243" w:type="dxa"/>
          </w:tcPr>
          <w:p w:rsidR="00A31D79" w:rsidRPr="00667E6E" w:rsidRDefault="00A31D79" w:rsidP="00667E6E">
            <w:pPr>
              <w:pStyle w:val="TableParagraph"/>
              <w:jc w:val="both"/>
            </w:pPr>
            <w:r w:rsidRPr="00667E6E">
              <w:t>article 6</w:t>
            </w:r>
          </w:p>
        </w:tc>
        <w:tc>
          <w:tcPr>
            <w:tcW w:w="6857" w:type="dxa"/>
          </w:tcPr>
          <w:p w:rsidR="00A31D79" w:rsidRPr="00667E6E" w:rsidRDefault="00A31D79" w:rsidP="00667E6E">
            <w:pPr>
              <w:pStyle w:val="TableParagraph"/>
              <w:ind w:left="105"/>
              <w:jc w:val="both"/>
            </w:pPr>
            <w:r w:rsidRPr="00667E6E">
              <w:t>Pengembangan kerja sama mitigasi secara sukarela antarnegara termasuk</w:t>
            </w:r>
            <w:r w:rsidRPr="00667E6E">
              <w:rPr>
                <w:lang w:val="id-ID"/>
              </w:rPr>
              <w:t xml:space="preserve"> </w:t>
            </w:r>
            <w:r w:rsidRPr="00667E6E">
              <w:t>melalui mekanisme pasar dan non pasar</w:t>
            </w:r>
          </w:p>
        </w:tc>
      </w:tr>
      <w:tr w:rsidR="00A31D79" w:rsidRPr="00A31D79" w:rsidTr="007301D6">
        <w:trPr>
          <w:trHeight w:val="551"/>
        </w:trPr>
        <w:tc>
          <w:tcPr>
            <w:tcW w:w="1243" w:type="dxa"/>
          </w:tcPr>
          <w:p w:rsidR="00A31D79" w:rsidRPr="00667E6E" w:rsidRDefault="00A31D79" w:rsidP="00667E6E">
            <w:pPr>
              <w:pStyle w:val="TableParagraph"/>
              <w:jc w:val="both"/>
            </w:pPr>
            <w:r w:rsidRPr="00667E6E">
              <w:t>article 7</w:t>
            </w:r>
          </w:p>
        </w:tc>
        <w:tc>
          <w:tcPr>
            <w:tcW w:w="6857" w:type="dxa"/>
          </w:tcPr>
          <w:p w:rsidR="00A31D79" w:rsidRPr="00667E6E" w:rsidRDefault="00A31D79" w:rsidP="00667E6E">
            <w:pPr>
              <w:pStyle w:val="TableParagraph"/>
              <w:ind w:left="105"/>
              <w:jc w:val="both"/>
            </w:pPr>
            <w:r w:rsidRPr="00667E6E">
              <w:t>Penetapan tujuan global adaptasi yang membutuhkan dukungan dan kerja sama</w:t>
            </w:r>
            <w:r w:rsidRPr="00667E6E">
              <w:rPr>
                <w:lang w:val="id-ID"/>
              </w:rPr>
              <w:t xml:space="preserve"> </w:t>
            </w:r>
            <w:r w:rsidRPr="00667E6E">
              <w:t>internasional khususnya bagi negara berkembang</w:t>
            </w:r>
          </w:p>
        </w:tc>
      </w:tr>
      <w:tr w:rsidR="00A31D79" w:rsidRPr="00A31D79" w:rsidTr="007301D6">
        <w:trPr>
          <w:trHeight w:val="551"/>
        </w:trPr>
        <w:tc>
          <w:tcPr>
            <w:tcW w:w="1243" w:type="dxa"/>
          </w:tcPr>
          <w:p w:rsidR="00A31D79" w:rsidRPr="00667E6E" w:rsidRDefault="00A31D79" w:rsidP="00667E6E">
            <w:pPr>
              <w:pStyle w:val="TableParagraph"/>
              <w:jc w:val="both"/>
            </w:pPr>
            <w:r w:rsidRPr="00667E6E">
              <w:t>article 8</w:t>
            </w:r>
          </w:p>
        </w:tc>
        <w:tc>
          <w:tcPr>
            <w:tcW w:w="6857" w:type="dxa"/>
          </w:tcPr>
          <w:p w:rsidR="00A31D79" w:rsidRPr="00667E6E" w:rsidRDefault="00A31D79" w:rsidP="00667E6E">
            <w:pPr>
              <w:pStyle w:val="TableParagraph"/>
              <w:ind w:left="105"/>
              <w:jc w:val="both"/>
            </w:pPr>
            <w:r w:rsidRPr="00667E6E">
              <w:t>Pengakuan pentingnya meminimalkan dan mengatasi kerugian dan kerusakan</w:t>
            </w:r>
            <w:r w:rsidRPr="00667E6E">
              <w:rPr>
                <w:lang w:val="id-ID"/>
              </w:rPr>
              <w:t xml:space="preserve"> </w:t>
            </w:r>
            <w:r w:rsidRPr="00667E6E">
              <w:t>(loss and damage) akibat dampak buruk perubahan iklim</w:t>
            </w:r>
          </w:p>
        </w:tc>
      </w:tr>
      <w:tr w:rsidR="00A31D79" w:rsidRPr="00A31D79" w:rsidTr="007301D6">
        <w:trPr>
          <w:trHeight w:val="828"/>
        </w:trPr>
        <w:tc>
          <w:tcPr>
            <w:tcW w:w="1243" w:type="dxa"/>
          </w:tcPr>
          <w:p w:rsidR="00A31D79" w:rsidRPr="00667E6E" w:rsidRDefault="00A31D79" w:rsidP="00667E6E">
            <w:pPr>
              <w:pStyle w:val="TableParagraph"/>
              <w:jc w:val="both"/>
            </w:pPr>
            <w:r w:rsidRPr="00667E6E">
              <w:t>article 9</w:t>
            </w:r>
          </w:p>
        </w:tc>
        <w:tc>
          <w:tcPr>
            <w:tcW w:w="6857" w:type="dxa"/>
          </w:tcPr>
          <w:p w:rsidR="00A31D79" w:rsidRPr="00667E6E" w:rsidRDefault="00A31D79" w:rsidP="008056CD">
            <w:pPr>
              <w:pStyle w:val="TableParagraph"/>
              <w:ind w:left="105" w:right="96"/>
              <w:jc w:val="both"/>
            </w:pPr>
            <w:r w:rsidRPr="00667E6E">
              <w:t>Kewajiban negara maju menyediakan sumber pendanaan untuk membantu negara berkembang dalam melaksanakan mitigasi-adaptasi. Selain itu pihak lain</w:t>
            </w:r>
            <w:r w:rsidR="008056CD">
              <w:rPr>
                <w:lang w:val="id-ID"/>
              </w:rPr>
              <w:t xml:space="preserve"> </w:t>
            </w:r>
            <w:r w:rsidRPr="00667E6E">
              <w:t>dapat memberikan dukungan secara sukarela</w:t>
            </w:r>
          </w:p>
        </w:tc>
      </w:tr>
      <w:tr w:rsidR="00A31D79" w:rsidRPr="00A31D79" w:rsidTr="007301D6">
        <w:trPr>
          <w:trHeight w:val="551"/>
        </w:trPr>
        <w:tc>
          <w:tcPr>
            <w:tcW w:w="1243" w:type="dxa"/>
          </w:tcPr>
          <w:p w:rsidR="00A31D79" w:rsidRPr="00667E6E" w:rsidRDefault="00A31D79" w:rsidP="00667E6E">
            <w:pPr>
              <w:pStyle w:val="TableParagraph"/>
              <w:jc w:val="both"/>
            </w:pPr>
            <w:r w:rsidRPr="00667E6E">
              <w:lastRenderedPageBreak/>
              <w:t>article 10</w:t>
            </w:r>
          </w:p>
        </w:tc>
        <w:tc>
          <w:tcPr>
            <w:tcW w:w="6857" w:type="dxa"/>
          </w:tcPr>
          <w:p w:rsidR="00A31D79" w:rsidRPr="00667E6E" w:rsidRDefault="00A31D79" w:rsidP="00667E6E">
            <w:pPr>
              <w:pStyle w:val="TableParagraph"/>
              <w:ind w:left="105"/>
              <w:jc w:val="both"/>
            </w:pPr>
            <w:r w:rsidRPr="00667E6E">
              <w:t>Peningkatan aksi kerja sama seluruh negara dalam pengembangan dan</w:t>
            </w:r>
            <w:r w:rsidRPr="00667E6E">
              <w:rPr>
                <w:spacing w:val="54"/>
              </w:rPr>
              <w:t xml:space="preserve"> </w:t>
            </w:r>
            <w:r w:rsidRPr="00667E6E">
              <w:t>alih</w:t>
            </w:r>
            <w:r w:rsidRPr="00667E6E">
              <w:rPr>
                <w:lang w:val="id-ID"/>
              </w:rPr>
              <w:t xml:space="preserve"> </w:t>
            </w:r>
            <w:r w:rsidRPr="00667E6E">
              <w:t>Teknologi</w:t>
            </w:r>
          </w:p>
        </w:tc>
      </w:tr>
      <w:tr w:rsidR="00A31D79" w:rsidRPr="00A31D79" w:rsidTr="007301D6">
        <w:trPr>
          <w:trHeight w:val="551"/>
        </w:trPr>
        <w:tc>
          <w:tcPr>
            <w:tcW w:w="1243" w:type="dxa"/>
          </w:tcPr>
          <w:p w:rsidR="00A31D79" w:rsidRPr="00667E6E" w:rsidRDefault="00A31D79" w:rsidP="00667E6E">
            <w:pPr>
              <w:pStyle w:val="TableParagraph"/>
              <w:jc w:val="both"/>
            </w:pPr>
            <w:r w:rsidRPr="00667E6E">
              <w:t>article 11</w:t>
            </w:r>
          </w:p>
        </w:tc>
        <w:tc>
          <w:tcPr>
            <w:tcW w:w="6857" w:type="dxa"/>
          </w:tcPr>
          <w:p w:rsidR="00A31D79" w:rsidRPr="00667E6E" w:rsidRDefault="00A31D79" w:rsidP="00667E6E">
            <w:pPr>
              <w:pStyle w:val="TableParagraph"/>
              <w:ind w:left="105"/>
              <w:jc w:val="both"/>
            </w:pPr>
            <w:r w:rsidRPr="00667E6E">
              <w:t>Perlunya kerja sama Para Pihak dan kewajiban negara</w:t>
            </w:r>
            <w:r w:rsidRPr="00667E6E">
              <w:rPr>
                <w:spacing w:val="54"/>
              </w:rPr>
              <w:t xml:space="preserve"> </w:t>
            </w:r>
            <w:r w:rsidRPr="00667E6E">
              <w:t>maju untuk memperkuat</w:t>
            </w:r>
            <w:r w:rsidRPr="00667E6E">
              <w:rPr>
                <w:lang w:val="id-ID"/>
              </w:rPr>
              <w:t xml:space="preserve"> </w:t>
            </w:r>
            <w:r w:rsidRPr="00667E6E">
              <w:t>dukungan bagi peningkatan kapasitas negara berkembang</w:t>
            </w:r>
          </w:p>
        </w:tc>
      </w:tr>
      <w:tr w:rsidR="00A31D79" w:rsidRPr="00A31D79" w:rsidTr="007301D6">
        <w:trPr>
          <w:trHeight w:val="827"/>
        </w:trPr>
        <w:tc>
          <w:tcPr>
            <w:tcW w:w="1243" w:type="dxa"/>
          </w:tcPr>
          <w:p w:rsidR="00A31D79" w:rsidRPr="00667E6E" w:rsidRDefault="00A31D79" w:rsidP="00667E6E">
            <w:pPr>
              <w:pStyle w:val="TableParagraph"/>
              <w:jc w:val="both"/>
            </w:pPr>
            <w:r w:rsidRPr="00667E6E">
              <w:t>article 12</w:t>
            </w:r>
          </w:p>
        </w:tc>
        <w:tc>
          <w:tcPr>
            <w:tcW w:w="6857" w:type="dxa"/>
          </w:tcPr>
          <w:p w:rsidR="00A31D79" w:rsidRPr="00667E6E" w:rsidRDefault="00A31D79" w:rsidP="00667E6E">
            <w:pPr>
              <w:pStyle w:val="TableParagraph"/>
              <w:ind w:left="105"/>
              <w:jc w:val="both"/>
            </w:pPr>
            <w:r w:rsidRPr="00667E6E">
              <w:t>Kerja sama Para Pihak dalam upaya penguatan pendidikan, pelatihan, kesadaran publik, partisipasi publik, dan akses publik terhadap informasi mengenai</w:t>
            </w:r>
            <w:r w:rsidRPr="00667E6E">
              <w:rPr>
                <w:lang w:val="id-ID"/>
              </w:rPr>
              <w:t xml:space="preserve"> </w:t>
            </w:r>
            <w:r w:rsidRPr="00667E6E">
              <w:t>perubahan iklim</w:t>
            </w:r>
          </w:p>
        </w:tc>
      </w:tr>
      <w:tr w:rsidR="00A31D79" w:rsidRPr="00A31D79" w:rsidTr="007301D6">
        <w:trPr>
          <w:trHeight w:val="830"/>
        </w:trPr>
        <w:tc>
          <w:tcPr>
            <w:tcW w:w="1243" w:type="dxa"/>
          </w:tcPr>
          <w:p w:rsidR="00A31D79" w:rsidRPr="00667E6E" w:rsidRDefault="00A31D79" w:rsidP="00667E6E">
            <w:pPr>
              <w:pStyle w:val="TableParagraph"/>
              <w:jc w:val="both"/>
            </w:pPr>
            <w:r w:rsidRPr="00667E6E">
              <w:t>article 13</w:t>
            </w:r>
          </w:p>
        </w:tc>
        <w:tc>
          <w:tcPr>
            <w:tcW w:w="6857" w:type="dxa"/>
          </w:tcPr>
          <w:p w:rsidR="00A31D79" w:rsidRPr="00667E6E" w:rsidRDefault="00A31D79" w:rsidP="00667E6E">
            <w:pPr>
              <w:pStyle w:val="TableParagraph"/>
              <w:ind w:left="105"/>
              <w:jc w:val="both"/>
            </w:pPr>
            <w:r w:rsidRPr="00667E6E">
              <w:t>Pembentukan dan pelaksanaan kerangka kerja transparansi yang merupakan pengembangan dari yang sudah ada di bawah Konvensi, meliputi aksi maupun</w:t>
            </w:r>
            <w:r w:rsidRPr="00667E6E">
              <w:rPr>
                <w:lang w:val="id-ID"/>
              </w:rPr>
              <w:t xml:space="preserve"> </w:t>
            </w:r>
            <w:r w:rsidRPr="00667E6E">
              <w:t>dukungan dengan fleksibilitas bagi negara berkembang</w:t>
            </w:r>
          </w:p>
        </w:tc>
      </w:tr>
      <w:tr w:rsidR="00A31D79" w:rsidRPr="00A31D79" w:rsidTr="007301D6">
        <w:trPr>
          <w:trHeight w:val="827"/>
        </w:trPr>
        <w:tc>
          <w:tcPr>
            <w:tcW w:w="1243" w:type="dxa"/>
          </w:tcPr>
          <w:p w:rsidR="00A31D79" w:rsidRPr="00667E6E" w:rsidRDefault="00A31D79" w:rsidP="00667E6E">
            <w:pPr>
              <w:pStyle w:val="TableParagraph"/>
              <w:jc w:val="both"/>
            </w:pPr>
            <w:r w:rsidRPr="00667E6E">
              <w:t>article 14</w:t>
            </w:r>
          </w:p>
        </w:tc>
        <w:tc>
          <w:tcPr>
            <w:tcW w:w="6857" w:type="dxa"/>
          </w:tcPr>
          <w:p w:rsidR="00A31D79" w:rsidRPr="00667E6E" w:rsidRDefault="00A31D79" w:rsidP="00667E6E">
            <w:pPr>
              <w:pStyle w:val="TableParagraph"/>
              <w:ind w:left="105" w:right="96"/>
              <w:jc w:val="both"/>
            </w:pPr>
            <w:r w:rsidRPr="00667E6E">
              <w:t>Pelaksanaan secara berkala inven</w:t>
            </w:r>
            <w:r w:rsidR="00251E20" w:rsidRPr="00667E6E">
              <w:t>tarisasi dari implementasi Persetujuan</w:t>
            </w:r>
            <w:r w:rsidR="00251E20" w:rsidRPr="00667E6E">
              <w:rPr>
                <w:lang w:val="id-ID"/>
              </w:rPr>
              <w:t xml:space="preserve"> Paris</w:t>
            </w:r>
            <w:r w:rsidRPr="00667E6E">
              <w:t xml:space="preserve"> untuk menilai kemajuan kolektif, dimulai tahun 2023 dan selanjutnya dilakukan</w:t>
            </w:r>
            <w:r w:rsidRPr="00667E6E">
              <w:rPr>
                <w:lang w:val="id-ID"/>
              </w:rPr>
              <w:t xml:space="preserve"> </w:t>
            </w:r>
            <w:r w:rsidRPr="00667E6E">
              <w:t>setiap lima tahun</w:t>
            </w:r>
          </w:p>
        </w:tc>
      </w:tr>
      <w:tr w:rsidR="00A31D79" w:rsidRPr="00A31D79" w:rsidTr="007301D6">
        <w:trPr>
          <w:trHeight w:val="551"/>
        </w:trPr>
        <w:tc>
          <w:tcPr>
            <w:tcW w:w="1243" w:type="dxa"/>
          </w:tcPr>
          <w:p w:rsidR="00A31D79" w:rsidRPr="00667E6E" w:rsidRDefault="00A31D79" w:rsidP="00667E6E">
            <w:pPr>
              <w:pStyle w:val="TableParagraph"/>
              <w:jc w:val="both"/>
            </w:pPr>
            <w:r w:rsidRPr="00667E6E">
              <w:t>article 15</w:t>
            </w:r>
          </w:p>
        </w:tc>
        <w:tc>
          <w:tcPr>
            <w:tcW w:w="6857" w:type="dxa"/>
          </w:tcPr>
          <w:p w:rsidR="00A31D79" w:rsidRPr="00667E6E" w:rsidRDefault="00A31D79" w:rsidP="00667E6E">
            <w:pPr>
              <w:pStyle w:val="TableParagraph"/>
              <w:ind w:left="105"/>
              <w:jc w:val="both"/>
            </w:pPr>
            <w:r w:rsidRPr="00667E6E">
              <w:t>Pembentukan mekanisme untuk memfasilitasi implementasi dan mendorong</w:t>
            </w:r>
            <w:r w:rsidRPr="00667E6E">
              <w:rPr>
                <w:lang w:val="id-ID"/>
              </w:rPr>
              <w:t xml:space="preserve"> </w:t>
            </w:r>
            <w:r w:rsidRPr="00667E6E">
              <w:t>kepatuhan terhadap Persetujuan Paris</w:t>
            </w:r>
          </w:p>
        </w:tc>
      </w:tr>
    </w:tbl>
    <w:p w:rsidR="00A31D79" w:rsidRPr="00667E6E" w:rsidRDefault="00A31D79" w:rsidP="00A31D79">
      <w:pPr>
        <w:spacing w:line="480" w:lineRule="auto"/>
        <w:rPr>
          <w:i/>
          <w:lang w:val="id-ID"/>
        </w:rPr>
      </w:pPr>
      <w:r w:rsidRPr="00667E6E">
        <w:rPr>
          <w:i/>
          <w:lang w:val="id-ID"/>
        </w:rPr>
        <w:t xml:space="preserve">Sumber: </w:t>
      </w:r>
      <w:r w:rsidRPr="00667E6E">
        <w:rPr>
          <w:i/>
          <w:color w:val="212121"/>
          <w:lang w:val="id-ID"/>
        </w:rPr>
        <w:t>United Nations Climate Change Annual Report 2017</w:t>
      </w:r>
    </w:p>
    <w:p w:rsidR="00A31D79" w:rsidRPr="00A31D79" w:rsidRDefault="00A31D79" w:rsidP="008056CD">
      <w:pPr>
        <w:widowControl/>
        <w:spacing w:after="160" w:line="480" w:lineRule="auto"/>
        <w:ind w:firstLine="720"/>
        <w:jc w:val="both"/>
        <w:rPr>
          <w:rFonts w:eastAsia="Calibri"/>
          <w:sz w:val="24"/>
          <w:szCs w:val="24"/>
          <w:lang w:val="id-ID" w:eastAsia="zh-CN" w:bidi="ar"/>
        </w:rPr>
      </w:pPr>
      <w:r w:rsidRPr="00A31D79">
        <w:rPr>
          <w:rFonts w:eastAsia="Calibri"/>
          <w:sz w:val="24"/>
          <w:szCs w:val="24"/>
          <w:lang w:val="id-ID" w:eastAsia="zh-CN" w:bidi="ar"/>
        </w:rPr>
        <w:t xml:space="preserve">Setelah COP 21 di Paris, penguatan implementasi Persetujuan Paris terus dilakukan terutama dalam hal penguatan unsur teknis dari artikel-artikel Persetujuan Paris yang sudah disepakati di COP 22 di Marrakesh, Maroko. </w:t>
      </w:r>
    </w:p>
    <w:p w:rsidR="008056CD" w:rsidRDefault="006D0D9E" w:rsidP="008056CD">
      <w:pPr>
        <w:widowControl/>
        <w:spacing w:after="160" w:line="480" w:lineRule="auto"/>
        <w:jc w:val="both"/>
        <w:rPr>
          <w:rFonts w:eastAsia="Calibri"/>
          <w:sz w:val="24"/>
          <w:szCs w:val="24"/>
          <w:lang w:val="id-ID" w:eastAsia="zh-CN" w:bidi="ar"/>
        </w:rPr>
      </w:pPr>
      <w:r>
        <w:rPr>
          <w:rFonts w:eastAsia="Calibri"/>
          <w:sz w:val="24"/>
          <w:szCs w:val="24"/>
          <w:lang w:val="id-ID" w:eastAsia="zh-CN" w:bidi="ar"/>
        </w:rPr>
        <w:t>Berikut perjalanan sejumlah Conference of Parties (COP)</w:t>
      </w:r>
      <w:r w:rsidR="00A31D79" w:rsidRPr="00A31D79">
        <w:rPr>
          <w:rFonts w:eastAsia="Calibri"/>
          <w:sz w:val="24"/>
          <w:szCs w:val="24"/>
          <w:lang w:val="id-ID" w:eastAsia="zh-CN" w:bidi="ar"/>
        </w:rPr>
        <w:t xml:space="preserve"> yang dilaksanakan</w:t>
      </w:r>
    </w:p>
    <w:p w:rsidR="00A31D79" w:rsidRPr="00A31D79" w:rsidRDefault="006D0D9E" w:rsidP="008056CD">
      <w:pPr>
        <w:widowControl/>
        <w:spacing w:after="160" w:line="480" w:lineRule="auto"/>
        <w:jc w:val="both"/>
        <w:rPr>
          <w:sz w:val="24"/>
          <w:szCs w:val="24"/>
          <w:lang w:val="id-ID"/>
        </w:rPr>
      </w:pPr>
      <w:r>
        <w:rPr>
          <w:rFonts w:eastAsia="Calibri"/>
          <w:sz w:val="24"/>
          <w:szCs w:val="24"/>
          <w:lang w:val="id-ID" w:eastAsia="zh-CN" w:bidi="ar"/>
        </w:rPr>
        <w:t>setelah COP yang melahirkan Persetujuan Paris</w:t>
      </w:r>
      <w:r w:rsidR="00A31D79" w:rsidRPr="00A31D79">
        <w:rPr>
          <w:rFonts w:eastAsia="Calibri"/>
          <w:sz w:val="24"/>
          <w:szCs w:val="24"/>
          <w:lang w:val="id-ID" w:eastAsia="zh-CN" w:bidi="ar"/>
        </w:rPr>
        <w:t xml:space="preserve">: </w:t>
      </w:r>
    </w:p>
    <w:p w:rsidR="00A31D79" w:rsidRPr="00A31D79" w:rsidRDefault="00A31D79" w:rsidP="00A31D79">
      <w:pPr>
        <w:widowControl/>
        <w:spacing w:after="160" w:line="480" w:lineRule="auto"/>
        <w:jc w:val="both"/>
        <w:rPr>
          <w:sz w:val="24"/>
          <w:szCs w:val="24"/>
          <w:lang w:val="id-ID"/>
        </w:rPr>
      </w:pPr>
      <w:r w:rsidRPr="00A31D79">
        <w:rPr>
          <w:rFonts w:eastAsia="Calibri"/>
          <w:sz w:val="24"/>
          <w:szCs w:val="24"/>
          <w:lang w:val="id-ID" w:eastAsia="zh-CN" w:bidi="ar"/>
        </w:rPr>
        <w:t>COP 21 2015 : Paris, Perancis</w:t>
      </w:r>
    </w:p>
    <w:p w:rsidR="00A31D79" w:rsidRPr="00A31D79" w:rsidRDefault="00A31D79" w:rsidP="00A31D79">
      <w:pPr>
        <w:widowControl/>
        <w:spacing w:after="160" w:line="480" w:lineRule="auto"/>
        <w:jc w:val="both"/>
        <w:rPr>
          <w:sz w:val="24"/>
          <w:szCs w:val="24"/>
          <w:lang w:val="id-ID"/>
        </w:rPr>
      </w:pPr>
      <w:r w:rsidRPr="00A31D79">
        <w:rPr>
          <w:rFonts w:eastAsia="Calibri"/>
          <w:sz w:val="24"/>
          <w:szCs w:val="24"/>
          <w:lang w:val="id-ID" w:eastAsia="zh-CN" w:bidi="ar"/>
        </w:rPr>
        <w:t>COP 22 2016 : Marrakesh, Maroko</w:t>
      </w:r>
    </w:p>
    <w:p w:rsidR="00A31D79" w:rsidRPr="00A31D79" w:rsidRDefault="00A31D79" w:rsidP="00A31D79">
      <w:pPr>
        <w:widowControl/>
        <w:spacing w:after="160" w:line="480" w:lineRule="auto"/>
        <w:jc w:val="both"/>
        <w:rPr>
          <w:sz w:val="24"/>
          <w:szCs w:val="24"/>
          <w:lang w:val="id-ID"/>
        </w:rPr>
      </w:pPr>
      <w:r w:rsidRPr="00A31D79">
        <w:rPr>
          <w:rFonts w:eastAsia="Calibri"/>
          <w:sz w:val="24"/>
          <w:szCs w:val="24"/>
          <w:lang w:val="id-ID" w:eastAsia="zh-CN" w:bidi="ar"/>
        </w:rPr>
        <w:t>COP 23 2017: Bonn, Jerman</w:t>
      </w:r>
    </w:p>
    <w:p w:rsidR="00A31D79" w:rsidRPr="00A31D79" w:rsidRDefault="00A31D79" w:rsidP="00A31D79">
      <w:pPr>
        <w:widowControl/>
        <w:spacing w:after="160" w:line="480" w:lineRule="auto"/>
        <w:jc w:val="both"/>
        <w:rPr>
          <w:rFonts w:eastAsia="Calibri"/>
          <w:sz w:val="24"/>
          <w:szCs w:val="24"/>
          <w:lang w:val="id-ID" w:eastAsia="zh-CN" w:bidi="ar"/>
        </w:rPr>
      </w:pPr>
      <w:r w:rsidRPr="00A31D79">
        <w:rPr>
          <w:rFonts w:eastAsia="Calibri"/>
          <w:sz w:val="24"/>
          <w:szCs w:val="24"/>
          <w:lang w:val="id-ID" w:eastAsia="zh-CN" w:bidi="ar"/>
        </w:rPr>
        <w:t>COP 24 2018 : Katowice, Polandia</w:t>
      </w:r>
    </w:p>
    <w:p w:rsidR="00A31D79" w:rsidRPr="00A31D79" w:rsidRDefault="00A31D79" w:rsidP="00A31D79">
      <w:pPr>
        <w:widowControl/>
        <w:spacing w:after="160" w:line="480" w:lineRule="auto"/>
        <w:jc w:val="both"/>
        <w:rPr>
          <w:rFonts w:eastAsia="Calibri"/>
          <w:sz w:val="24"/>
          <w:szCs w:val="24"/>
          <w:lang w:val="id-ID" w:eastAsia="zh-CN" w:bidi="ar"/>
        </w:rPr>
      </w:pPr>
      <w:r w:rsidRPr="00A31D79">
        <w:rPr>
          <w:rFonts w:eastAsia="Calibri"/>
          <w:sz w:val="24"/>
          <w:szCs w:val="24"/>
          <w:lang w:val="id-ID" w:eastAsia="zh-CN" w:bidi="ar"/>
        </w:rPr>
        <w:t>COP 25 2019: Santiago, Chile</w:t>
      </w:r>
    </w:p>
    <w:p w:rsidR="006D0D9E" w:rsidRPr="006D0D9E" w:rsidRDefault="006D0D9E" w:rsidP="00A31D79">
      <w:pPr>
        <w:widowControl/>
        <w:spacing w:after="160" w:line="480" w:lineRule="auto"/>
        <w:jc w:val="both"/>
        <w:rPr>
          <w:bCs/>
          <w:sz w:val="24"/>
          <w:szCs w:val="24"/>
          <w:lang w:val="id-ID"/>
        </w:rPr>
      </w:pPr>
      <w:r>
        <w:rPr>
          <w:bCs/>
          <w:sz w:val="24"/>
          <w:szCs w:val="24"/>
          <w:lang w:val="id-ID"/>
        </w:rPr>
        <w:t xml:space="preserve">Sementara hasil dari COP tersebut adalah sebagai berikut (Tabel 3). </w:t>
      </w:r>
    </w:p>
    <w:p w:rsidR="006D0D9E" w:rsidRDefault="006D0D9E" w:rsidP="00A31D79">
      <w:pPr>
        <w:widowControl/>
        <w:spacing w:after="160" w:line="480" w:lineRule="auto"/>
        <w:jc w:val="both"/>
        <w:rPr>
          <w:b/>
          <w:bCs/>
          <w:sz w:val="24"/>
          <w:szCs w:val="24"/>
          <w:lang w:val="id-ID"/>
        </w:rPr>
      </w:pPr>
    </w:p>
    <w:p w:rsidR="006D0D9E" w:rsidRDefault="006D0D9E" w:rsidP="00A31D79">
      <w:pPr>
        <w:widowControl/>
        <w:spacing w:after="160" w:line="480" w:lineRule="auto"/>
        <w:jc w:val="both"/>
        <w:rPr>
          <w:b/>
          <w:bCs/>
          <w:sz w:val="24"/>
          <w:szCs w:val="24"/>
          <w:lang w:val="id-ID"/>
        </w:rPr>
      </w:pPr>
    </w:p>
    <w:p w:rsidR="00A31D79" w:rsidRPr="00A31D79" w:rsidRDefault="00A31D79" w:rsidP="00A31D79">
      <w:pPr>
        <w:widowControl/>
        <w:spacing w:after="160" w:line="480" w:lineRule="auto"/>
        <w:jc w:val="both"/>
        <w:rPr>
          <w:b/>
          <w:bCs/>
          <w:sz w:val="24"/>
          <w:szCs w:val="24"/>
          <w:lang w:val="id-ID"/>
        </w:rPr>
      </w:pPr>
      <w:r w:rsidRPr="00A31D79">
        <w:rPr>
          <w:b/>
          <w:bCs/>
          <w:sz w:val="24"/>
          <w:szCs w:val="24"/>
          <w:lang w:val="id-ID"/>
        </w:rPr>
        <w:lastRenderedPageBreak/>
        <w:t xml:space="preserve">Tabel 3. Pelaksanaan dan Hasil COP </w:t>
      </w:r>
    </w:p>
    <w:tbl>
      <w:tblPr>
        <w:tblW w:w="7935" w:type="dxa"/>
        <w:tblLayout w:type="fixed"/>
        <w:tblLook w:val="04A0" w:firstRow="1" w:lastRow="0" w:firstColumn="1" w:lastColumn="0" w:noHBand="0" w:noVBand="1"/>
      </w:tblPr>
      <w:tblGrid>
        <w:gridCol w:w="979"/>
        <w:gridCol w:w="6956"/>
      </w:tblGrid>
      <w:tr w:rsidR="00A31D79" w:rsidRPr="00A31D79" w:rsidTr="007301D6">
        <w:tc>
          <w:tcPr>
            <w:tcW w:w="979" w:type="dxa"/>
            <w:tcBorders>
              <w:top w:val="single" w:sz="2" w:space="0" w:color="auto"/>
              <w:left w:val="single" w:sz="2" w:space="0" w:color="auto"/>
              <w:bottom w:val="single" w:sz="2" w:space="0" w:color="auto"/>
              <w:right w:val="single" w:sz="2" w:space="0" w:color="auto"/>
            </w:tcBorders>
            <w:shd w:val="clear" w:color="auto" w:fill="auto"/>
          </w:tcPr>
          <w:p w:rsidR="00A31D79" w:rsidRPr="00667E6E" w:rsidRDefault="00A31D79" w:rsidP="008056CD">
            <w:pPr>
              <w:widowControl/>
              <w:rPr>
                <w:b/>
              </w:rPr>
            </w:pPr>
            <w:r w:rsidRPr="00667E6E">
              <w:rPr>
                <w:rFonts w:eastAsia="Calibri"/>
                <w:b/>
                <w:lang w:val="en-US" w:eastAsia="zh-CN" w:bidi="ar"/>
              </w:rPr>
              <w:t>Tahun</w:t>
            </w:r>
          </w:p>
        </w:tc>
        <w:tc>
          <w:tcPr>
            <w:tcW w:w="6956" w:type="dxa"/>
            <w:tcBorders>
              <w:top w:val="single" w:sz="2" w:space="0" w:color="auto"/>
              <w:left w:val="single" w:sz="2" w:space="0" w:color="auto"/>
              <w:bottom w:val="single" w:sz="2" w:space="0" w:color="auto"/>
              <w:right w:val="single" w:sz="2" w:space="0" w:color="auto"/>
            </w:tcBorders>
            <w:shd w:val="clear" w:color="auto" w:fill="auto"/>
          </w:tcPr>
          <w:p w:rsidR="00A31D79" w:rsidRPr="00667E6E" w:rsidRDefault="00A31D79" w:rsidP="00667E6E">
            <w:pPr>
              <w:widowControl/>
              <w:jc w:val="center"/>
              <w:rPr>
                <w:b/>
                <w:lang w:val="id-ID"/>
              </w:rPr>
            </w:pPr>
            <w:r w:rsidRPr="00667E6E">
              <w:rPr>
                <w:rFonts w:eastAsia="Calibri"/>
                <w:b/>
                <w:lang w:val="id-ID" w:eastAsia="zh-CN" w:bidi="ar"/>
              </w:rPr>
              <w:t>Hasil</w:t>
            </w:r>
          </w:p>
        </w:tc>
      </w:tr>
      <w:tr w:rsidR="00A31D79" w:rsidRPr="00A31D79" w:rsidTr="007301D6">
        <w:tc>
          <w:tcPr>
            <w:tcW w:w="979" w:type="dxa"/>
            <w:tcBorders>
              <w:top w:val="single" w:sz="2" w:space="0" w:color="auto"/>
              <w:left w:val="single" w:sz="2" w:space="0" w:color="auto"/>
              <w:bottom w:val="single" w:sz="2" w:space="0" w:color="auto"/>
              <w:right w:val="single" w:sz="2" w:space="0" w:color="auto"/>
            </w:tcBorders>
            <w:shd w:val="clear" w:color="auto" w:fill="auto"/>
          </w:tcPr>
          <w:p w:rsidR="00A31D79" w:rsidRPr="00667E6E" w:rsidRDefault="00A31D79" w:rsidP="008056CD">
            <w:pPr>
              <w:widowControl/>
            </w:pPr>
            <w:r w:rsidRPr="00667E6E">
              <w:rPr>
                <w:rFonts w:eastAsia="Calibri"/>
                <w:lang w:val="en-US" w:eastAsia="zh-CN" w:bidi="ar"/>
              </w:rPr>
              <w:t>2015</w:t>
            </w:r>
          </w:p>
        </w:tc>
        <w:tc>
          <w:tcPr>
            <w:tcW w:w="6956" w:type="dxa"/>
            <w:tcBorders>
              <w:top w:val="single" w:sz="2" w:space="0" w:color="auto"/>
              <w:left w:val="single" w:sz="2" w:space="0" w:color="auto"/>
              <w:bottom w:val="single" w:sz="2" w:space="0" w:color="auto"/>
              <w:right w:val="single" w:sz="2" w:space="0" w:color="auto"/>
            </w:tcBorders>
            <w:shd w:val="clear" w:color="auto" w:fill="auto"/>
          </w:tcPr>
          <w:p w:rsidR="00A31D79" w:rsidRPr="00667E6E" w:rsidRDefault="00A31D79" w:rsidP="00667E6E">
            <w:pPr>
              <w:widowControl/>
              <w:jc w:val="both"/>
            </w:pPr>
            <w:r w:rsidRPr="00667E6E">
              <w:rPr>
                <w:rFonts w:eastAsia="Calibri"/>
                <w:lang w:val="en-US" w:eastAsia="zh-CN" w:bidi="ar"/>
              </w:rPr>
              <w:t xml:space="preserve">Adopsi </w:t>
            </w:r>
            <w:r w:rsidRPr="00667E6E">
              <w:rPr>
                <w:rFonts w:eastAsia="Calibri"/>
                <w:lang w:val="id-ID" w:eastAsia="zh-CN" w:bidi="ar"/>
              </w:rPr>
              <w:t xml:space="preserve">Persetujuan </w:t>
            </w:r>
            <w:r w:rsidRPr="00667E6E">
              <w:rPr>
                <w:rFonts w:eastAsia="Calibri"/>
                <w:lang w:val="en-US" w:eastAsia="zh-CN" w:bidi="ar"/>
              </w:rPr>
              <w:t>Paris</w:t>
            </w:r>
          </w:p>
        </w:tc>
      </w:tr>
      <w:tr w:rsidR="00A31D79" w:rsidRPr="00A31D79" w:rsidTr="007301D6">
        <w:tc>
          <w:tcPr>
            <w:tcW w:w="979" w:type="dxa"/>
            <w:tcBorders>
              <w:top w:val="single" w:sz="2" w:space="0" w:color="auto"/>
              <w:left w:val="single" w:sz="2" w:space="0" w:color="auto"/>
              <w:bottom w:val="single" w:sz="2" w:space="0" w:color="auto"/>
              <w:right w:val="single" w:sz="2" w:space="0" w:color="auto"/>
            </w:tcBorders>
            <w:shd w:val="clear" w:color="auto" w:fill="auto"/>
          </w:tcPr>
          <w:p w:rsidR="00A31D79" w:rsidRPr="00667E6E" w:rsidRDefault="00A31D79" w:rsidP="008056CD">
            <w:pPr>
              <w:widowControl/>
              <w:rPr>
                <w:rFonts w:eastAsia="Calibri"/>
                <w:lang w:val="id-ID" w:eastAsia="zh-CN" w:bidi="ar"/>
              </w:rPr>
            </w:pPr>
            <w:r w:rsidRPr="00667E6E">
              <w:rPr>
                <w:rFonts w:eastAsia="Calibri"/>
                <w:lang w:val="id-ID" w:eastAsia="zh-CN" w:bidi="ar"/>
              </w:rPr>
              <w:t>2016</w:t>
            </w:r>
          </w:p>
        </w:tc>
        <w:tc>
          <w:tcPr>
            <w:tcW w:w="6956" w:type="dxa"/>
            <w:tcBorders>
              <w:top w:val="single" w:sz="2" w:space="0" w:color="auto"/>
              <w:left w:val="single" w:sz="2" w:space="0" w:color="auto"/>
              <w:bottom w:val="single" w:sz="2" w:space="0" w:color="auto"/>
              <w:right w:val="single" w:sz="2" w:space="0" w:color="auto"/>
            </w:tcBorders>
            <w:shd w:val="clear" w:color="auto" w:fill="auto"/>
          </w:tcPr>
          <w:p w:rsidR="00A31D79" w:rsidRPr="00667E6E" w:rsidRDefault="00A31D79" w:rsidP="00667E6E">
            <w:pPr>
              <w:widowControl/>
              <w:jc w:val="both"/>
              <w:rPr>
                <w:rFonts w:eastAsia="Calibri"/>
                <w:i/>
                <w:iCs/>
                <w:lang w:val="id-ID" w:eastAsia="zh-CN" w:bidi="ar"/>
              </w:rPr>
            </w:pPr>
            <w:r w:rsidRPr="00667E6E">
              <w:rPr>
                <w:rFonts w:eastAsia="Calibri"/>
                <w:lang w:val="id-ID" w:eastAsia="zh-CN" w:bidi="ar"/>
              </w:rPr>
              <w:t xml:space="preserve">Persetujuan </w:t>
            </w:r>
            <w:r w:rsidRPr="00667E6E">
              <w:rPr>
                <w:rFonts w:eastAsia="Calibri"/>
                <w:lang w:val="en-US" w:eastAsia="zh-CN" w:bidi="ar"/>
              </w:rPr>
              <w:t xml:space="preserve">Paris </w:t>
            </w:r>
            <w:r w:rsidRPr="00667E6E">
              <w:rPr>
                <w:rFonts w:eastAsia="Calibri"/>
                <w:lang w:val="id-ID" w:eastAsia="zh-CN" w:bidi="ar"/>
              </w:rPr>
              <w:t xml:space="preserve">masuk tahap </w:t>
            </w:r>
            <w:r w:rsidRPr="00667E6E">
              <w:rPr>
                <w:rFonts w:eastAsia="Calibri"/>
                <w:lang w:val="en-US" w:eastAsia="zh-CN" w:bidi="ar"/>
              </w:rPr>
              <w:t xml:space="preserve"> </w:t>
            </w:r>
            <w:r w:rsidRPr="00667E6E">
              <w:rPr>
                <w:rFonts w:eastAsia="Calibri"/>
                <w:i/>
                <w:iCs/>
                <w:lang w:val="en-US" w:eastAsia="zh-CN" w:bidi="ar"/>
              </w:rPr>
              <w:t>entry into force</w:t>
            </w:r>
            <w:r w:rsidRPr="00667E6E">
              <w:rPr>
                <w:rFonts w:eastAsia="Calibri"/>
                <w:i/>
                <w:iCs/>
                <w:lang w:val="id-ID" w:eastAsia="zh-CN" w:bidi="ar"/>
              </w:rPr>
              <w:t xml:space="preserve"> </w:t>
            </w:r>
          </w:p>
          <w:p w:rsidR="00A31D79" w:rsidRPr="00667E6E" w:rsidRDefault="00A31D79" w:rsidP="00667E6E">
            <w:pPr>
              <w:widowControl/>
              <w:jc w:val="both"/>
              <w:rPr>
                <w:rFonts w:eastAsia="Calibri"/>
                <w:lang w:val="id-ID" w:eastAsia="zh-CN" w:bidi="ar"/>
              </w:rPr>
            </w:pPr>
            <w:r w:rsidRPr="00667E6E">
              <w:rPr>
                <w:rFonts w:eastAsia="Calibri"/>
                <w:lang w:val="en-US" w:eastAsia="zh-CN" w:bidi="ar"/>
              </w:rPr>
              <w:t>CMA 1.0 pertemuan pertama para pihak negara-negara yang sudah meratifikasi PA</w:t>
            </w:r>
          </w:p>
        </w:tc>
      </w:tr>
      <w:tr w:rsidR="00A31D79" w:rsidRPr="00A31D79" w:rsidTr="007301D6">
        <w:tc>
          <w:tcPr>
            <w:tcW w:w="979" w:type="dxa"/>
            <w:tcBorders>
              <w:top w:val="single" w:sz="2" w:space="0" w:color="auto"/>
              <w:left w:val="single" w:sz="2" w:space="0" w:color="auto"/>
              <w:bottom w:val="single" w:sz="2" w:space="0" w:color="auto"/>
              <w:right w:val="single" w:sz="2" w:space="0" w:color="auto"/>
            </w:tcBorders>
            <w:shd w:val="clear" w:color="auto" w:fill="auto"/>
          </w:tcPr>
          <w:p w:rsidR="00A31D79" w:rsidRPr="00667E6E" w:rsidRDefault="00A31D79" w:rsidP="008056CD">
            <w:pPr>
              <w:widowControl/>
            </w:pPr>
            <w:r w:rsidRPr="00667E6E">
              <w:rPr>
                <w:rFonts w:eastAsia="Calibri"/>
                <w:lang w:val="en-US" w:eastAsia="zh-CN" w:bidi="ar"/>
              </w:rPr>
              <w:t>2017</w:t>
            </w:r>
          </w:p>
        </w:tc>
        <w:tc>
          <w:tcPr>
            <w:tcW w:w="6956" w:type="dxa"/>
            <w:tcBorders>
              <w:top w:val="single" w:sz="2" w:space="0" w:color="auto"/>
              <w:left w:val="single" w:sz="2" w:space="0" w:color="auto"/>
              <w:bottom w:val="single" w:sz="2" w:space="0" w:color="auto"/>
              <w:right w:val="single" w:sz="2" w:space="0" w:color="auto"/>
            </w:tcBorders>
            <w:shd w:val="clear" w:color="auto" w:fill="auto"/>
          </w:tcPr>
          <w:p w:rsidR="00A31D79" w:rsidRPr="00667E6E" w:rsidRDefault="00A31D79" w:rsidP="00667E6E">
            <w:pPr>
              <w:widowControl/>
              <w:jc w:val="both"/>
            </w:pPr>
            <w:r w:rsidRPr="00667E6E">
              <w:rPr>
                <w:rFonts w:eastAsia="Calibri"/>
                <w:lang w:val="en-US" w:eastAsia="zh-CN" w:bidi="ar"/>
              </w:rPr>
              <w:t>COP 23 di Bonn</w:t>
            </w:r>
          </w:p>
        </w:tc>
      </w:tr>
      <w:tr w:rsidR="00A31D79" w:rsidRPr="00A31D79" w:rsidTr="007301D6">
        <w:tc>
          <w:tcPr>
            <w:tcW w:w="979" w:type="dxa"/>
            <w:tcBorders>
              <w:top w:val="single" w:sz="2" w:space="0" w:color="auto"/>
              <w:left w:val="single" w:sz="2" w:space="0" w:color="auto"/>
              <w:bottom w:val="single" w:sz="2" w:space="0" w:color="auto"/>
              <w:right w:val="single" w:sz="2" w:space="0" w:color="auto"/>
            </w:tcBorders>
            <w:shd w:val="clear" w:color="auto" w:fill="auto"/>
          </w:tcPr>
          <w:p w:rsidR="00A31D79" w:rsidRPr="00667E6E" w:rsidRDefault="00A31D79" w:rsidP="008056CD">
            <w:pPr>
              <w:widowControl/>
              <w:rPr>
                <w:rFonts w:eastAsia="Calibri"/>
                <w:lang w:val="id-ID" w:eastAsia="zh-CN" w:bidi="ar"/>
              </w:rPr>
            </w:pPr>
            <w:r w:rsidRPr="00667E6E">
              <w:rPr>
                <w:rFonts w:eastAsia="Calibri"/>
                <w:lang w:val="id-ID" w:eastAsia="zh-CN" w:bidi="ar"/>
              </w:rPr>
              <w:t>2018</w:t>
            </w:r>
          </w:p>
        </w:tc>
        <w:tc>
          <w:tcPr>
            <w:tcW w:w="6956" w:type="dxa"/>
            <w:tcBorders>
              <w:top w:val="single" w:sz="2" w:space="0" w:color="auto"/>
              <w:left w:val="single" w:sz="2" w:space="0" w:color="auto"/>
              <w:bottom w:val="single" w:sz="2" w:space="0" w:color="auto"/>
              <w:right w:val="single" w:sz="2" w:space="0" w:color="auto"/>
            </w:tcBorders>
            <w:shd w:val="clear" w:color="auto" w:fill="auto"/>
          </w:tcPr>
          <w:p w:rsidR="00A31D79" w:rsidRPr="00667E6E" w:rsidRDefault="00A31D79" w:rsidP="00667E6E">
            <w:pPr>
              <w:widowControl/>
              <w:jc w:val="both"/>
              <w:rPr>
                <w:rFonts w:eastAsia="Calibri"/>
                <w:lang w:val="en-US" w:eastAsia="zh-CN" w:bidi="ar"/>
              </w:rPr>
            </w:pPr>
            <w:r w:rsidRPr="00667E6E">
              <w:rPr>
                <w:rFonts w:eastAsia="Calibri"/>
                <w:lang w:val="en-US" w:eastAsia="zh-CN" w:bidi="ar"/>
              </w:rPr>
              <w:t>Laporan IPCC 1.5</w:t>
            </w:r>
          </w:p>
          <w:p w:rsidR="00A31D79" w:rsidRPr="00667E6E" w:rsidRDefault="00A31D79" w:rsidP="00667E6E">
            <w:pPr>
              <w:widowControl/>
              <w:jc w:val="both"/>
            </w:pPr>
            <w:r w:rsidRPr="00667E6E">
              <w:rPr>
                <w:rFonts w:eastAsia="Calibri"/>
                <w:lang w:val="en-US" w:eastAsia="zh-CN" w:bidi="ar"/>
              </w:rPr>
              <w:t>Dialog Talanoa</w:t>
            </w:r>
          </w:p>
          <w:p w:rsidR="00A31D79" w:rsidRPr="00667E6E" w:rsidRDefault="00A31D79" w:rsidP="00667E6E">
            <w:pPr>
              <w:widowControl/>
              <w:jc w:val="both"/>
              <w:rPr>
                <w:rFonts w:eastAsia="Calibri"/>
                <w:lang w:val="en-US" w:eastAsia="zh-CN" w:bidi="ar"/>
              </w:rPr>
            </w:pPr>
            <w:r w:rsidRPr="00667E6E">
              <w:rPr>
                <w:rFonts w:eastAsia="Calibri"/>
                <w:lang w:val="en-US" w:eastAsia="zh-CN" w:bidi="ar"/>
              </w:rPr>
              <w:t>Work Programme, adopsi PA pre-2020, keuangan dan adaptasi (untuk diadopsi di COP 24 di Katowice, Polandia)</w:t>
            </w:r>
          </w:p>
        </w:tc>
      </w:tr>
    </w:tbl>
    <w:p w:rsidR="00A31D79" w:rsidRPr="00667E6E" w:rsidRDefault="00A31D79" w:rsidP="00A31D79">
      <w:pPr>
        <w:spacing w:line="480" w:lineRule="auto"/>
        <w:ind w:right="218"/>
        <w:jc w:val="both"/>
        <w:rPr>
          <w:i/>
          <w:lang w:val="id-ID"/>
        </w:rPr>
      </w:pPr>
      <w:r w:rsidRPr="00667E6E">
        <w:rPr>
          <w:rFonts w:eastAsia="Calibri"/>
          <w:i/>
          <w:lang w:val="id-ID" w:eastAsia="id-ID" w:bidi="ar"/>
        </w:rPr>
        <w:t xml:space="preserve">Sumber: </w:t>
      </w:r>
      <w:r w:rsidRPr="00667E6E">
        <w:rPr>
          <w:rFonts w:eastAsia="Calibri"/>
          <w:i/>
          <w:lang w:val="id-ID" w:eastAsia="zh-CN" w:bidi="ar"/>
        </w:rPr>
        <w:t xml:space="preserve"> </w:t>
      </w:r>
      <w:r w:rsidRPr="00667E6E">
        <w:rPr>
          <w:i/>
          <w:color w:val="212121"/>
          <w:lang w:val="id-ID"/>
        </w:rPr>
        <w:t>United Nations Climate Change Annual Report 2017</w:t>
      </w:r>
    </w:p>
    <w:p w:rsidR="00A31D79" w:rsidRPr="00A31D79" w:rsidRDefault="00A31D79" w:rsidP="00A31D79">
      <w:pPr>
        <w:widowControl/>
        <w:spacing w:after="160" w:line="480" w:lineRule="auto"/>
        <w:ind w:firstLine="720"/>
        <w:jc w:val="both"/>
        <w:rPr>
          <w:rFonts w:eastAsia="Calibri"/>
          <w:sz w:val="24"/>
          <w:szCs w:val="24"/>
          <w:lang w:val="id-ID" w:eastAsia="id-ID" w:bidi="ar"/>
        </w:rPr>
      </w:pPr>
      <w:r w:rsidRPr="00A31D79">
        <w:rPr>
          <w:rFonts w:eastAsia="Calibri"/>
          <w:sz w:val="24"/>
          <w:szCs w:val="24"/>
          <w:lang w:val="id-ID" w:eastAsia="id-ID" w:bidi="ar"/>
        </w:rPr>
        <w:t xml:space="preserve">Pada COP 23, membicarakan investasi dalam aksi perubahan iklim. Seperti diketahui di article 9 isi </w:t>
      </w:r>
      <w:r w:rsidRPr="00A31D79">
        <w:rPr>
          <w:rFonts w:eastAsia="Calibri"/>
          <w:sz w:val="24"/>
          <w:szCs w:val="24"/>
          <w:lang w:val="en-US" w:eastAsia="id-ID" w:bidi="ar"/>
        </w:rPr>
        <w:t xml:space="preserve">Persetujaun </w:t>
      </w:r>
      <w:r w:rsidRPr="00A31D79">
        <w:rPr>
          <w:rFonts w:eastAsia="Calibri"/>
          <w:sz w:val="24"/>
          <w:szCs w:val="24"/>
          <w:lang w:val="id-ID" w:eastAsia="id-ID" w:bidi="ar"/>
        </w:rPr>
        <w:t xml:space="preserve">Paris berisi mengenai komitmen negara maju untuk membantu pendanaan untuk perubahan iklim di negara berkembang. Pada COP 23, disebutkan total nilainya hampir mencapai 1 miliar dollar AS. </w:t>
      </w:r>
      <w:r w:rsidRPr="00A31D79">
        <w:rPr>
          <w:rFonts w:eastAsia="Calibri"/>
          <w:sz w:val="24"/>
          <w:szCs w:val="24"/>
          <w:lang w:val="en-US" w:eastAsia="id-ID" w:bidi="ar"/>
        </w:rPr>
        <w:t xml:space="preserve"> </w:t>
      </w:r>
      <w:r w:rsidRPr="00A31D79">
        <w:rPr>
          <w:rFonts w:eastAsia="Calibri"/>
          <w:sz w:val="24"/>
          <w:szCs w:val="24"/>
          <w:lang w:val="id-ID" w:eastAsia="id-ID" w:bidi="ar"/>
        </w:rPr>
        <w:t>Komitmen pendanaan tersebut datang dari</w:t>
      </w:r>
      <w:r w:rsidR="006D0D9E">
        <w:rPr>
          <w:rFonts w:eastAsia="Calibri"/>
          <w:sz w:val="24"/>
          <w:szCs w:val="24"/>
          <w:lang w:val="id-ID" w:eastAsia="id-ID" w:bidi="ar"/>
        </w:rPr>
        <w:t xml:space="preserve"> sejumlah negara, seperti disebutkan di (Tabel 4)</w:t>
      </w:r>
      <w:r w:rsidRPr="00A31D79">
        <w:rPr>
          <w:rFonts w:eastAsia="Calibri"/>
          <w:sz w:val="24"/>
          <w:szCs w:val="24"/>
          <w:lang w:val="id-ID" w:eastAsia="id-ID" w:bidi="ar"/>
        </w:rPr>
        <w:t xml:space="preserve">:  </w:t>
      </w:r>
    </w:p>
    <w:p w:rsidR="00A31D79" w:rsidRPr="00A31D79" w:rsidRDefault="002C245C" w:rsidP="006D0D9E">
      <w:pPr>
        <w:widowControl/>
        <w:spacing w:after="160" w:line="480" w:lineRule="auto"/>
        <w:jc w:val="both"/>
        <w:rPr>
          <w:rFonts w:eastAsia="Calibri"/>
          <w:b/>
          <w:sz w:val="24"/>
          <w:szCs w:val="24"/>
          <w:lang w:val="id-ID" w:eastAsia="id-ID" w:bidi="ar"/>
        </w:rPr>
      </w:pPr>
      <w:r>
        <w:rPr>
          <w:rFonts w:eastAsia="Calibri"/>
          <w:b/>
          <w:sz w:val="24"/>
          <w:szCs w:val="24"/>
          <w:lang w:val="id-ID" w:eastAsia="id-ID" w:bidi="ar"/>
        </w:rPr>
        <w:t>Tabel 4. Komitmen Pendanaan dari Negara M</w:t>
      </w:r>
      <w:bookmarkStart w:id="0" w:name="_GoBack"/>
      <w:bookmarkEnd w:id="0"/>
      <w:r w:rsidR="00A31D79" w:rsidRPr="00A31D79">
        <w:rPr>
          <w:rFonts w:eastAsia="Calibri"/>
          <w:b/>
          <w:sz w:val="24"/>
          <w:szCs w:val="24"/>
          <w:lang w:val="id-ID" w:eastAsia="id-ID" w:bidi="ar"/>
        </w:rPr>
        <w:t>aju untuk Persetujuan Paris</w:t>
      </w:r>
    </w:p>
    <w:tbl>
      <w:tblPr>
        <w:tblW w:w="781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87"/>
        <w:gridCol w:w="7229"/>
      </w:tblGrid>
      <w:tr w:rsidR="00A31D79" w:rsidRPr="00A31D79" w:rsidTr="007301D6">
        <w:trPr>
          <w:trHeight w:val="551"/>
        </w:trPr>
        <w:tc>
          <w:tcPr>
            <w:tcW w:w="587" w:type="dxa"/>
          </w:tcPr>
          <w:p w:rsidR="00A31D79" w:rsidRPr="006D0D9E" w:rsidRDefault="00A31D79" w:rsidP="006D0D9E">
            <w:pPr>
              <w:pStyle w:val="TableParagraph"/>
              <w:jc w:val="both"/>
              <w:rPr>
                <w:b/>
                <w:lang w:val="id-ID"/>
              </w:rPr>
            </w:pPr>
            <w:r w:rsidRPr="006D0D9E">
              <w:rPr>
                <w:b/>
                <w:lang w:val="id-ID"/>
              </w:rPr>
              <w:t>No</w:t>
            </w:r>
          </w:p>
        </w:tc>
        <w:tc>
          <w:tcPr>
            <w:tcW w:w="7229" w:type="dxa"/>
          </w:tcPr>
          <w:p w:rsidR="00A31D79" w:rsidRPr="006D0D9E" w:rsidRDefault="00A31D79" w:rsidP="006D0D9E">
            <w:pPr>
              <w:pStyle w:val="TableParagraph"/>
              <w:ind w:left="2393"/>
              <w:jc w:val="both"/>
              <w:rPr>
                <w:b/>
                <w:lang w:val="id-ID"/>
              </w:rPr>
            </w:pPr>
            <w:r w:rsidRPr="006D0D9E">
              <w:rPr>
                <w:b/>
                <w:lang w:val="id-ID"/>
              </w:rPr>
              <w:t>Komitmen Pendanaan</w:t>
            </w:r>
          </w:p>
        </w:tc>
      </w:tr>
      <w:tr w:rsidR="00A31D79" w:rsidRPr="00A31D79" w:rsidTr="007301D6">
        <w:trPr>
          <w:trHeight w:val="551"/>
        </w:trPr>
        <w:tc>
          <w:tcPr>
            <w:tcW w:w="587" w:type="dxa"/>
          </w:tcPr>
          <w:p w:rsidR="00A31D79" w:rsidRPr="006D0D9E" w:rsidRDefault="00A31D79" w:rsidP="006D0D9E">
            <w:pPr>
              <w:pStyle w:val="TableParagraph"/>
              <w:ind w:left="268"/>
              <w:jc w:val="both"/>
              <w:rPr>
                <w:lang w:val="id-ID"/>
              </w:rPr>
            </w:pPr>
            <w:r w:rsidRPr="006D0D9E">
              <w:rPr>
                <w:lang w:val="id-ID"/>
              </w:rPr>
              <w:t>1.</w:t>
            </w:r>
          </w:p>
        </w:tc>
        <w:tc>
          <w:tcPr>
            <w:tcW w:w="7229" w:type="dxa"/>
          </w:tcPr>
          <w:p w:rsidR="00A31D79" w:rsidRPr="006D0D9E" w:rsidRDefault="00A31D79" w:rsidP="006D0D9E">
            <w:pPr>
              <w:pStyle w:val="TableParagraph"/>
              <w:ind w:left="4"/>
              <w:jc w:val="both"/>
            </w:pPr>
            <w:r w:rsidRPr="006D0D9E">
              <w:rPr>
                <w:rFonts w:eastAsia="Calibri"/>
                <w:lang w:val="id-ID" w:eastAsia="id-ID" w:bidi="ar"/>
              </w:rPr>
              <w:t>Norwegia, Unilever, dan mitra lainnya sebesar 400 juta dollar AS untuk pendanaan bidang agrikultur, pertanian dan manajemen hutan berkelanjutan.</w:t>
            </w:r>
          </w:p>
        </w:tc>
      </w:tr>
      <w:tr w:rsidR="00A31D79" w:rsidRPr="00A31D79" w:rsidTr="007301D6">
        <w:trPr>
          <w:trHeight w:val="551"/>
        </w:trPr>
        <w:tc>
          <w:tcPr>
            <w:tcW w:w="587" w:type="dxa"/>
          </w:tcPr>
          <w:p w:rsidR="00A31D79" w:rsidRPr="006D0D9E" w:rsidRDefault="00A31D79" w:rsidP="006D0D9E">
            <w:pPr>
              <w:pStyle w:val="TableParagraph"/>
              <w:ind w:left="268"/>
              <w:jc w:val="both"/>
              <w:rPr>
                <w:lang w:val="id-ID"/>
              </w:rPr>
            </w:pPr>
            <w:r w:rsidRPr="006D0D9E">
              <w:rPr>
                <w:lang w:val="id-ID"/>
              </w:rPr>
              <w:t>2.</w:t>
            </w:r>
          </w:p>
        </w:tc>
        <w:tc>
          <w:tcPr>
            <w:tcW w:w="7229" w:type="dxa"/>
          </w:tcPr>
          <w:p w:rsidR="00A31D79" w:rsidRPr="006D0D9E" w:rsidRDefault="00A31D79" w:rsidP="006D0D9E">
            <w:pPr>
              <w:pStyle w:val="TableParagraph"/>
              <w:ind w:left="4"/>
            </w:pPr>
            <w:r w:rsidRPr="006D0D9E">
              <w:rPr>
                <w:rFonts w:eastAsia="Calibri"/>
                <w:lang w:val="id-ID" w:eastAsia="id-ID" w:bidi="ar"/>
              </w:rPr>
              <w:t>The Insuresilience Inititiative, menambahkan pendanaan sebesar 125 juta dollar AS dari Jerman untuk mendukung asuransi untuk 400 juta masyarajat miskin hingga 2020.</w:t>
            </w:r>
          </w:p>
        </w:tc>
      </w:tr>
      <w:tr w:rsidR="00A31D79" w:rsidRPr="00A31D79" w:rsidTr="007301D6">
        <w:trPr>
          <w:trHeight w:val="551"/>
        </w:trPr>
        <w:tc>
          <w:tcPr>
            <w:tcW w:w="587" w:type="dxa"/>
          </w:tcPr>
          <w:p w:rsidR="00A31D79" w:rsidRPr="006D0D9E" w:rsidRDefault="00A31D79" w:rsidP="006D0D9E">
            <w:pPr>
              <w:pStyle w:val="TableParagraph"/>
              <w:ind w:left="268"/>
              <w:jc w:val="both"/>
              <w:rPr>
                <w:lang w:val="id-ID"/>
              </w:rPr>
            </w:pPr>
            <w:r w:rsidRPr="006D0D9E">
              <w:rPr>
                <w:lang w:val="id-ID"/>
              </w:rPr>
              <w:t>3.</w:t>
            </w:r>
          </w:p>
        </w:tc>
        <w:tc>
          <w:tcPr>
            <w:tcW w:w="7229" w:type="dxa"/>
          </w:tcPr>
          <w:p w:rsidR="00A31D79" w:rsidRPr="006D0D9E" w:rsidRDefault="00A31D79" w:rsidP="006D0D9E">
            <w:pPr>
              <w:widowControl/>
              <w:spacing w:after="160"/>
              <w:ind w:left="4"/>
              <w:jc w:val="both"/>
              <w:rPr>
                <w:lang w:val="id-ID" w:eastAsia="id-ID"/>
              </w:rPr>
            </w:pPr>
            <w:r w:rsidRPr="006D0D9E">
              <w:rPr>
                <w:rFonts w:eastAsia="Calibri"/>
                <w:lang w:val="id-ID" w:eastAsia="id-ID" w:bidi="ar"/>
              </w:rPr>
              <w:t xml:space="preserve">Jerman, Inggris, dan Irlandia Utara mengumumkan pendanaan 153 juta dollar AS untuk program perubahan iklim dan deforestasi di hutan Amazon. </w:t>
            </w:r>
          </w:p>
        </w:tc>
      </w:tr>
      <w:tr w:rsidR="00A31D79" w:rsidRPr="00A31D79" w:rsidTr="007301D6">
        <w:trPr>
          <w:trHeight w:val="551"/>
        </w:trPr>
        <w:tc>
          <w:tcPr>
            <w:tcW w:w="587" w:type="dxa"/>
          </w:tcPr>
          <w:p w:rsidR="00A31D79" w:rsidRPr="006D0D9E" w:rsidRDefault="00A31D79" w:rsidP="006D0D9E">
            <w:pPr>
              <w:pStyle w:val="TableParagraph"/>
              <w:ind w:left="268"/>
              <w:jc w:val="both"/>
              <w:rPr>
                <w:lang w:val="id-ID"/>
              </w:rPr>
            </w:pPr>
            <w:r w:rsidRPr="006D0D9E">
              <w:rPr>
                <w:lang w:val="id-ID"/>
              </w:rPr>
              <w:t>4.</w:t>
            </w:r>
          </w:p>
        </w:tc>
        <w:tc>
          <w:tcPr>
            <w:tcW w:w="7229" w:type="dxa"/>
          </w:tcPr>
          <w:p w:rsidR="00A31D79" w:rsidRPr="006D0D9E" w:rsidRDefault="00A31D79" w:rsidP="006D0D9E">
            <w:pPr>
              <w:widowControl/>
              <w:spacing w:after="160"/>
              <w:ind w:left="4"/>
              <w:jc w:val="both"/>
              <w:rPr>
                <w:rFonts w:eastAsia="Calibri"/>
                <w:lang w:val="id-ID" w:eastAsia="id-ID" w:bidi="ar"/>
              </w:rPr>
            </w:pPr>
            <w:r w:rsidRPr="006D0D9E">
              <w:rPr>
                <w:rFonts w:eastAsia="Calibri"/>
                <w:lang w:val="id-ID" w:eastAsia="id-ID" w:bidi="ar"/>
              </w:rPr>
              <w:t>The European Investment Bank mengumumkan pendanaan senilai 75 juta dollar AS dari total pendanaan 405 juta dollar AS untuk ketahanan air, distribusi air dan penanganan limbah air di ibu kota Fiji di Suva.</w:t>
            </w:r>
          </w:p>
        </w:tc>
      </w:tr>
      <w:tr w:rsidR="00A31D79" w:rsidRPr="00A31D79" w:rsidTr="007301D6">
        <w:trPr>
          <w:trHeight w:val="551"/>
        </w:trPr>
        <w:tc>
          <w:tcPr>
            <w:tcW w:w="587" w:type="dxa"/>
          </w:tcPr>
          <w:p w:rsidR="00A31D79" w:rsidRPr="006D0D9E" w:rsidRDefault="00A31D79" w:rsidP="006D0D9E">
            <w:pPr>
              <w:pStyle w:val="TableParagraph"/>
              <w:ind w:left="268"/>
              <w:jc w:val="both"/>
              <w:rPr>
                <w:lang w:val="id-ID"/>
              </w:rPr>
            </w:pPr>
            <w:r w:rsidRPr="006D0D9E">
              <w:rPr>
                <w:lang w:val="id-ID"/>
              </w:rPr>
              <w:t>5.</w:t>
            </w:r>
          </w:p>
        </w:tc>
        <w:tc>
          <w:tcPr>
            <w:tcW w:w="7229" w:type="dxa"/>
          </w:tcPr>
          <w:p w:rsidR="00A31D79" w:rsidRPr="006D0D9E" w:rsidRDefault="00A31D79" w:rsidP="006D0D9E">
            <w:pPr>
              <w:widowControl/>
              <w:spacing w:after="160"/>
              <w:ind w:left="4"/>
              <w:jc w:val="both"/>
              <w:rPr>
                <w:rFonts w:eastAsia="Calibri"/>
                <w:lang w:val="id-ID" w:eastAsia="id-ID" w:bidi="ar"/>
              </w:rPr>
            </w:pPr>
            <w:r w:rsidRPr="006D0D9E">
              <w:rPr>
                <w:rFonts w:eastAsia="Calibri"/>
                <w:lang w:val="id-ID" w:eastAsia="id-ID" w:bidi="ar"/>
              </w:rPr>
              <w:t>Green Climate Fund dan European Bank for Reconstruction and Development mendedikasikan lebih dari 37 juta dollar AS untuk bantuan total 243 juta dollar AS untuk proyek konservasi air Saiss di Maroko.</w:t>
            </w:r>
          </w:p>
        </w:tc>
      </w:tr>
      <w:tr w:rsidR="00A31D79" w:rsidRPr="006D0D9E" w:rsidTr="007301D6">
        <w:trPr>
          <w:trHeight w:val="551"/>
        </w:trPr>
        <w:tc>
          <w:tcPr>
            <w:tcW w:w="587" w:type="dxa"/>
          </w:tcPr>
          <w:p w:rsidR="00A31D79" w:rsidRPr="006D0D9E" w:rsidRDefault="00A31D79" w:rsidP="006D0D9E">
            <w:pPr>
              <w:pStyle w:val="TableParagraph"/>
              <w:ind w:left="268"/>
              <w:jc w:val="both"/>
              <w:rPr>
                <w:lang w:val="id-ID"/>
              </w:rPr>
            </w:pPr>
            <w:r w:rsidRPr="006D0D9E">
              <w:rPr>
                <w:lang w:val="id-ID"/>
              </w:rPr>
              <w:t>6.</w:t>
            </w:r>
          </w:p>
        </w:tc>
        <w:tc>
          <w:tcPr>
            <w:tcW w:w="7229" w:type="dxa"/>
          </w:tcPr>
          <w:p w:rsidR="00A31D79" w:rsidRPr="006D0D9E" w:rsidRDefault="00A31D79" w:rsidP="006D0D9E">
            <w:pPr>
              <w:widowControl/>
              <w:spacing w:after="160"/>
              <w:ind w:left="4"/>
              <w:jc w:val="both"/>
              <w:rPr>
                <w:lang w:val="id-ID" w:eastAsia="id-ID"/>
              </w:rPr>
            </w:pPr>
            <w:r w:rsidRPr="006D0D9E">
              <w:rPr>
                <w:rFonts w:eastAsia="Calibri"/>
                <w:lang w:val="id-ID" w:eastAsia="id-ID" w:bidi="ar"/>
              </w:rPr>
              <w:t xml:space="preserve">The United Nations Development Programme, Jerman, Spanyol dan Uni Eropa merilis program pendukung NDC sebesar 52 juta dollar AS untuk negara-negara berkembang melaksanakan </w:t>
            </w:r>
            <w:r w:rsidR="00251E20" w:rsidRPr="006D0D9E">
              <w:rPr>
                <w:rFonts w:eastAsia="Calibri"/>
                <w:lang w:val="id-ID" w:eastAsia="id-ID" w:bidi="ar"/>
              </w:rPr>
              <w:t xml:space="preserve">Persetujuan </w:t>
            </w:r>
            <w:r w:rsidRPr="006D0D9E">
              <w:rPr>
                <w:rFonts w:eastAsia="Calibri"/>
                <w:lang w:val="id-ID" w:eastAsia="id-ID" w:bidi="ar"/>
              </w:rPr>
              <w:t xml:space="preserve">Paris. </w:t>
            </w:r>
          </w:p>
        </w:tc>
      </w:tr>
      <w:tr w:rsidR="00A31D79" w:rsidRPr="006D0D9E" w:rsidTr="007301D6">
        <w:trPr>
          <w:trHeight w:val="551"/>
        </w:trPr>
        <w:tc>
          <w:tcPr>
            <w:tcW w:w="587" w:type="dxa"/>
          </w:tcPr>
          <w:p w:rsidR="00A31D79" w:rsidRPr="006D0D9E" w:rsidRDefault="00A31D79" w:rsidP="006D0D9E">
            <w:pPr>
              <w:pStyle w:val="TableParagraph"/>
              <w:ind w:left="268"/>
              <w:jc w:val="both"/>
              <w:rPr>
                <w:lang w:val="id-ID"/>
              </w:rPr>
            </w:pPr>
            <w:r w:rsidRPr="006D0D9E">
              <w:rPr>
                <w:lang w:val="id-ID"/>
              </w:rPr>
              <w:lastRenderedPageBreak/>
              <w:t>7.</w:t>
            </w:r>
          </w:p>
        </w:tc>
        <w:tc>
          <w:tcPr>
            <w:tcW w:w="7229" w:type="dxa"/>
          </w:tcPr>
          <w:p w:rsidR="00A31D79" w:rsidRPr="006D0D9E" w:rsidRDefault="00A31D79" w:rsidP="006D0D9E">
            <w:pPr>
              <w:widowControl/>
              <w:spacing w:after="160"/>
              <w:ind w:left="4"/>
              <w:jc w:val="both"/>
              <w:rPr>
                <w:rFonts w:eastAsia="Calibri"/>
                <w:lang w:val="id-ID" w:eastAsia="id-ID" w:bidi="ar"/>
              </w:rPr>
            </w:pPr>
            <w:r w:rsidRPr="006D0D9E">
              <w:rPr>
                <w:rFonts w:eastAsia="Calibri"/>
                <w:lang w:val="id-ID" w:eastAsia="id-ID" w:bidi="ar"/>
              </w:rPr>
              <w:t>The International Energy Agency, didukung 13 negara, merilis pendanaan untuk program energi bersih senilai 37 juta dollar AS.</w:t>
            </w:r>
          </w:p>
        </w:tc>
      </w:tr>
      <w:tr w:rsidR="00A31D79" w:rsidRPr="006D0D9E" w:rsidTr="007301D6">
        <w:trPr>
          <w:trHeight w:val="551"/>
        </w:trPr>
        <w:tc>
          <w:tcPr>
            <w:tcW w:w="587" w:type="dxa"/>
          </w:tcPr>
          <w:p w:rsidR="00A31D79" w:rsidRPr="006D0D9E" w:rsidRDefault="00A31D79" w:rsidP="006D0D9E">
            <w:pPr>
              <w:pStyle w:val="TableParagraph"/>
              <w:ind w:left="268"/>
              <w:jc w:val="both"/>
              <w:rPr>
                <w:lang w:val="id-ID"/>
              </w:rPr>
            </w:pPr>
            <w:r w:rsidRPr="006D0D9E">
              <w:rPr>
                <w:lang w:val="id-ID"/>
              </w:rPr>
              <w:t>8.</w:t>
            </w:r>
          </w:p>
        </w:tc>
        <w:tc>
          <w:tcPr>
            <w:tcW w:w="7229" w:type="dxa"/>
          </w:tcPr>
          <w:p w:rsidR="00A31D79" w:rsidRPr="006D0D9E" w:rsidRDefault="00A31D79" w:rsidP="006D0D9E">
            <w:pPr>
              <w:widowControl/>
              <w:spacing w:after="160"/>
              <w:ind w:left="4"/>
              <w:jc w:val="both"/>
              <w:rPr>
                <w:lang w:val="id-ID" w:eastAsia="id-ID"/>
              </w:rPr>
            </w:pPr>
            <w:r w:rsidRPr="006D0D9E">
              <w:rPr>
                <w:rFonts w:eastAsia="Calibri"/>
                <w:lang w:val="id-ID" w:eastAsia="id-ID" w:bidi="ar"/>
              </w:rPr>
              <w:t xml:space="preserve">The World Health Organizations, bersama Sekretariat UN Climate Change dan Presidensi COP 23 mengumumkan inisiatif spesial untuk dukungan finansial internasional untuk perubahan iklim dan kesehatan di pulau-pulau kecil di negara berkembang pada 2030. </w:t>
            </w:r>
          </w:p>
        </w:tc>
      </w:tr>
      <w:tr w:rsidR="00A31D79" w:rsidRPr="006D0D9E" w:rsidTr="007301D6">
        <w:trPr>
          <w:trHeight w:val="551"/>
        </w:trPr>
        <w:tc>
          <w:tcPr>
            <w:tcW w:w="587" w:type="dxa"/>
          </w:tcPr>
          <w:p w:rsidR="00A31D79" w:rsidRPr="006D0D9E" w:rsidRDefault="00A31D79" w:rsidP="006D0D9E">
            <w:pPr>
              <w:pStyle w:val="TableParagraph"/>
              <w:ind w:left="268"/>
              <w:jc w:val="both"/>
              <w:rPr>
                <w:lang w:val="id-ID"/>
              </w:rPr>
            </w:pPr>
            <w:r w:rsidRPr="006D0D9E">
              <w:rPr>
                <w:lang w:val="id-ID"/>
              </w:rPr>
              <w:t>9.</w:t>
            </w:r>
          </w:p>
        </w:tc>
        <w:tc>
          <w:tcPr>
            <w:tcW w:w="7229" w:type="dxa"/>
          </w:tcPr>
          <w:p w:rsidR="00A31D79" w:rsidRPr="006D0D9E" w:rsidRDefault="00A31D79" w:rsidP="006D0D9E">
            <w:pPr>
              <w:pStyle w:val="TableParagraph"/>
              <w:ind w:left="4"/>
            </w:pPr>
            <w:r w:rsidRPr="006D0D9E">
              <w:rPr>
                <w:rFonts w:eastAsia="Calibri"/>
                <w:lang w:val="id-ID" w:eastAsia="id-ID" w:bidi="ar"/>
              </w:rPr>
              <w:t>The Ocean Pathway Partnership bertujuan pada 2020 akan memperkuat aksi dan pendanaan untuk perubahan iklim dan kelautan dan proses menuju target NDC.</w:t>
            </w:r>
          </w:p>
        </w:tc>
      </w:tr>
    </w:tbl>
    <w:p w:rsidR="00A31D79" w:rsidRPr="006D0D9E" w:rsidRDefault="00A31D79" w:rsidP="006D0D9E">
      <w:pPr>
        <w:widowControl/>
        <w:spacing w:after="160" w:line="480" w:lineRule="auto"/>
        <w:jc w:val="both"/>
        <w:rPr>
          <w:i/>
          <w:lang w:val="id-ID"/>
        </w:rPr>
      </w:pPr>
      <w:r w:rsidRPr="006D0D9E">
        <w:rPr>
          <w:rFonts w:eastAsia="Calibri"/>
          <w:i/>
          <w:lang w:val="id-ID" w:eastAsia="id-ID" w:bidi="ar"/>
        </w:rPr>
        <w:t xml:space="preserve">Sumber: </w:t>
      </w:r>
      <w:r w:rsidRPr="006D0D9E">
        <w:rPr>
          <w:i/>
          <w:color w:val="212121"/>
          <w:lang w:val="id-ID"/>
        </w:rPr>
        <w:t>United Nations Climate Change Annual Report 2017</w:t>
      </w:r>
    </w:p>
    <w:p w:rsidR="00A31D79" w:rsidRPr="006D0D9E" w:rsidRDefault="00A31D79" w:rsidP="006D0D9E">
      <w:pPr>
        <w:pStyle w:val="Heading3"/>
        <w:tabs>
          <w:tab w:val="left" w:pos="940"/>
        </w:tabs>
        <w:spacing w:before="90" w:line="480" w:lineRule="auto"/>
        <w:ind w:left="255" w:hangingChars="91" w:hanging="255"/>
        <w:jc w:val="both"/>
        <w:rPr>
          <w:sz w:val="28"/>
          <w:szCs w:val="28"/>
          <w:lang w:val="id-ID"/>
        </w:rPr>
      </w:pPr>
      <w:r w:rsidRPr="006D0D9E">
        <w:rPr>
          <w:sz w:val="28"/>
          <w:szCs w:val="28"/>
        </w:rPr>
        <w:t>2.</w:t>
      </w:r>
      <w:r w:rsidR="004877A5">
        <w:rPr>
          <w:sz w:val="28"/>
          <w:szCs w:val="28"/>
          <w:lang w:val="id-ID"/>
        </w:rPr>
        <w:t>5</w:t>
      </w:r>
      <w:r w:rsidRPr="006D0D9E">
        <w:rPr>
          <w:sz w:val="28"/>
          <w:szCs w:val="28"/>
        </w:rPr>
        <w:tab/>
        <w:t>NDC, RAN</w:t>
      </w:r>
      <w:r w:rsidRPr="006D0D9E">
        <w:rPr>
          <w:sz w:val="28"/>
          <w:szCs w:val="28"/>
          <w:lang w:val="id-ID"/>
        </w:rPr>
        <w:t>-</w:t>
      </w:r>
      <w:r w:rsidRPr="006D0D9E">
        <w:rPr>
          <w:sz w:val="28"/>
          <w:szCs w:val="28"/>
        </w:rPr>
        <w:t>GRK</w:t>
      </w:r>
      <w:r w:rsidRPr="006D0D9E">
        <w:rPr>
          <w:sz w:val="28"/>
          <w:szCs w:val="28"/>
          <w:lang w:val="id-ID"/>
        </w:rPr>
        <w:t>, NAMAs</w:t>
      </w:r>
    </w:p>
    <w:p w:rsidR="00A31D79" w:rsidRPr="00A31D79" w:rsidRDefault="00A31D79" w:rsidP="006D0D9E">
      <w:pPr>
        <w:pStyle w:val="BodyText"/>
        <w:spacing w:before="1" w:line="480" w:lineRule="auto"/>
        <w:ind w:right="216" w:firstLine="724"/>
        <w:jc w:val="both"/>
        <w:rPr>
          <w:lang w:val="id-ID"/>
        </w:rPr>
      </w:pPr>
      <w:r w:rsidRPr="00A31D79">
        <w:t xml:space="preserve">Nationally Determined Contribution (NDC) merupakan bagian penting dari </w:t>
      </w:r>
      <w:r w:rsidRPr="00A31D79">
        <w:rPr>
          <w:lang w:val="id-ID"/>
        </w:rPr>
        <w:t xml:space="preserve">Persetujuan </w:t>
      </w:r>
      <w:r w:rsidRPr="00A31D79">
        <w:t>Paris. NDC berisi pernyataan komitmen negara pihak melalui United Nations Framework Convention on Climate Change/UNFCCC).</w:t>
      </w:r>
      <w:r w:rsidRPr="00A31D79">
        <w:rPr>
          <w:lang w:val="id-ID"/>
        </w:rPr>
        <w:t xml:space="preserve"> </w:t>
      </w:r>
      <w:r w:rsidRPr="00A31D79">
        <w:t xml:space="preserve">NDC Indonesia berisi komitmen untuk menurunkan emisi </w:t>
      </w:r>
      <w:r w:rsidR="006D0D9E">
        <w:rPr>
          <w:lang w:val="id-ID"/>
        </w:rPr>
        <w:t>gas rumah kaca (</w:t>
      </w:r>
      <w:r w:rsidRPr="00A31D79">
        <w:t>GRK</w:t>
      </w:r>
      <w:r w:rsidR="006D0D9E">
        <w:rPr>
          <w:lang w:val="id-ID"/>
        </w:rPr>
        <w:t>)</w:t>
      </w:r>
      <w:r w:rsidRPr="00A31D79">
        <w:t xml:space="preserve"> hingga 29 persen pada 2030 dengan usaha sendiri, dan hingga 41 persen dengan bantuan internasional.</w:t>
      </w:r>
      <w:r w:rsidRPr="00A31D79">
        <w:rPr>
          <w:lang w:val="id-ID"/>
        </w:rPr>
        <w:t xml:space="preserve">  </w:t>
      </w:r>
    </w:p>
    <w:p w:rsidR="00A31D79" w:rsidRPr="00A31D79" w:rsidRDefault="00A31D79" w:rsidP="00A31D79">
      <w:pPr>
        <w:pStyle w:val="BodyText"/>
        <w:spacing w:before="1" w:line="480" w:lineRule="auto"/>
        <w:ind w:right="216" w:firstLine="724"/>
        <w:jc w:val="both"/>
        <w:rPr>
          <w:lang w:val="id-ID"/>
        </w:rPr>
      </w:pPr>
      <w:r w:rsidRPr="00A31D79">
        <w:t>Nationally Appropriate Mitigation Actions (NAMAs) dibahas pada COP ke-13 di Bali pada 2007. NAMAs merupakan semua aksi untuk mereduksi emisi GRK di negara berkembang dan dipersiapkan di bawah payung inisiatif pemerintah negara tersebut. NAMAs muncul karena banyaknya jumlah negara berkembang yang membutuhkan bantuan dari negara maju sementara jumlah bantuan negara maju belum</w:t>
      </w:r>
      <w:r w:rsidRPr="00A31D79">
        <w:rPr>
          <w:spacing w:val="-5"/>
        </w:rPr>
        <w:t xml:space="preserve"> </w:t>
      </w:r>
      <w:r w:rsidRPr="00A31D79">
        <w:t>besar.</w:t>
      </w:r>
      <w:r w:rsidRPr="00A31D79">
        <w:rPr>
          <w:lang w:val="id-ID"/>
        </w:rPr>
        <w:t xml:space="preserve"> </w:t>
      </w:r>
    </w:p>
    <w:p w:rsidR="00A31D79" w:rsidRPr="00A31D79" w:rsidRDefault="00A31D79" w:rsidP="00A31D79">
      <w:pPr>
        <w:pStyle w:val="BodyText"/>
        <w:spacing w:before="1" w:line="480" w:lineRule="auto"/>
        <w:ind w:right="216" w:firstLine="724"/>
        <w:jc w:val="both"/>
      </w:pPr>
      <w:r w:rsidRPr="00A31D79">
        <w:t xml:space="preserve">NAMAs di Indonesia dituangkan dalam komitmen penurunan emisi GRK pada Peraturan Presiden Nomor 61 tahun 2011 tentang Rencana Aksi Nasional GRK (RAN-GRK) tanggal 28 Oktober 2011. RAN-GRK ini berlaku 2010-2020 untuk bidang berbasis lahan, energi dan pengelolaan limbah. </w:t>
      </w:r>
    </w:p>
    <w:p w:rsidR="00A31D79" w:rsidRPr="00A31D79" w:rsidRDefault="00A31D79" w:rsidP="00A31D79">
      <w:pPr>
        <w:pStyle w:val="BodyText"/>
        <w:spacing w:before="1" w:line="480" w:lineRule="auto"/>
        <w:ind w:right="216" w:firstLine="724"/>
        <w:jc w:val="both"/>
        <w:rPr>
          <w:lang w:val="id-ID"/>
        </w:rPr>
      </w:pPr>
      <w:r w:rsidRPr="00A31D79">
        <w:t>Pada Perpres tersebut Pemerintah Daerah juga diwajibkan untuk menyusun Rencana Aksi Daerah Penurunan Emisi Gas Rumah Kaca (RAD-</w:t>
      </w:r>
      <w:r w:rsidRPr="00A31D79">
        <w:lastRenderedPageBreak/>
        <w:t>GRK) sesuai dengan potensi dan kemampuan masing-masing daerah.</w:t>
      </w:r>
      <w:r w:rsidRPr="00A31D79">
        <w:rPr>
          <w:lang w:val="id-ID"/>
        </w:rPr>
        <w:t xml:space="preserve"> </w:t>
      </w:r>
    </w:p>
    <w:p w:rsidR="00A31D79" w:rsidRPr="00A31D79" w:rsidRDefault="00A31D79" w:rsidP="00A31D79">
      <w:pPr>
        <w:pStyle w:val="BodyText"/>
        <w:spacing w:before="1" w:line="480" w:lineRule="auto"/>
        <w:ind w:right="216" w:firstLine="4"/>
        <w:jc w:val="both"/>
        <w:rPr>
          <w:lang w:val="id-ID"/>
        </w:rPr>
      </w:pPr>
      <w:r w:rsidRPr="00A31D79">
        <w:t>Berikut RAN-GRK khusus sektor energi</w:t>
      </w:r>
      <w:r w:rsidR="006D0D9E">
        <w:rPr>
          <w:lang w:val="id-ID"/>
        </w:rPr>
        <w:t xml:space="preserve"> menurut Kementerian Energi dan Sumber Daya Manusia (ESDM) seperti terlihat dalam (Gambar 2)</w:t>
      </w:r>
      <w:r w:rsidRPr="00A31D79">
        <w:rPr>
          <w:lang w:val="id-ID"/>
        </w:rPr>
        <w:t>:</w:t>
      </w:r>
    </w:p>
    <w:p w:rsidR="00A31D79" w:rsidRPr="00A31D79" w:rsidRDefault="006D0D9E" w:rsidP="00A31D79">
      <w:pPr>
        <w:pStyle w:val="BodyText"/>
        <w:spacing w:before="1" w:line="480" w:lineRule="auto"/>
        <w:ind w:right="216" w:firstLine="4"/>
        <w:jc w:val="both"/>
        <w:rPr>
          <w:b/>
          <w:bCs/>
          <w:lang w:val="id-ID"/>
        </w:rPr>
      </w:pPr>
      <w:r w:rsidRPr="00A31D79">
        <w:rPr>
          <w:noProof/>
          <w:lang w:val="id-ID" w:eastAsia="id-ID" w:bidi="ar-SA"/>
        </w:rPr>
        <w:drawing>
          <wp:anchor distT="0" distB="0" distL="0" distR="0" simplePos="0" relativeHeight="251660288" behindDoc="0" locked="0" layoutInCell="1" allowOverlap="1" wp14:anchorId="2F83E5DD" wp14:editId="72161B69">
            <wp:simplePos x="0" y="0"/>
            <wp:positionH relativeFrom="page">
              <wp:posOffset>1201420</wp:posOffset>
            </wp:positionH>
            <wp:positionV relativeFrom="paragraph">
              <wp:posOffset>355364</wp:posOffset>
            </wp:positionV>
            <wp:extent cx="5377180" cy="2955290"/>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pic:cNvPicPr>
                      <a:picLocks noChangeAspect="1"/>
                    </pic:cNvPicPr>
                  </pic:nvPicPr>
                  <pic:blipFill>
                    <a:blip r:embed="rId8" cstate="print"/>
                    <a:stretch>
                      <a:fillRect/>
                    </a:stretch>
                  </pic:blipFill>
                  <pic:spPr>
                    <a:xfrm>
                      <a:off x="0" y="0"/>
                      <a:ext cx="5377180" cy="2955290"/>
                    </a:xfrm>
                    <a:prstGeom prst="rect">
                      <a:avLst/>
                    </a:prstGeom>
                  </pic:spPr>
                </pic:pic>
              </a:graphicData>
            </a:graphic>
            <wp14:sizeRelV relativeFrom="margin">
              <wp14:pctHeight>0</wp14:pctHeight>
            </wp14:sizeRelV>
          </wp:anchor>
        </w:drawing>
      </w:r>
      <w:r w:rsidR="00A31D79" w:rsidRPr="00A31D79">
        <w:rPr>
          <w:b/>
          <w:bCs/>
          <w:lang w:val="id-ID"/>
        </w:rPr>
        <w:t xml:space="preserve">Gambar 2. Rencana Aksi Sektor Energi untuk Mencapai Target NDC </w:t>
      </w:r>
    </w:p>
    <w:p w:rsidR="00A31D79" w:rsidRPr="00A31D79" w:rsidRDefault="00A31D79" w:rsidP="00A31D79">
      <w:pPr>
        <w:pStyle w:val="BodyText"/>
        <w:spacing w:before="230" w:line="480" w:lineRule="auto"/>
        <w:ind w:left="220" w:right="217"/>
        <w:jc w:val="both"/>
      </w:pPr>
      <w:r w:rsidRPr="00A31D79">
        <w:rPr>
          <w:noProof/>
          <w:lang w:val="id-ID" w:eastAsia="id-ID" w:bidi="ar-SA"/>
        </w:rPr>
        <w:drawing>
          <wp:inline distT="0" distB="0" distL="0" distR="0" wp14:anchorId="552679F6" wp14:editId="4021C515">
            <wp:extent cx="5695950" cy="3227705"/>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pic:cNvPicPr>
                      <a:picLocks noChangeAspect="1"/>
                    </pic:cNvPicPr>
                  </pic:nvPicPr>
                  <pic:blipFill>
                    <a:blip r:embed="rId9" cstate="print"/>
                    <a:stretch>
                      <a:fillRect/>
                    </a:stretch>
                  </pic:blipFill>
                  <pic:spPr>
                    <a:xfrm>
                      <a:off x="0" y="0"/>
                      <a:ext cx="5696437" cy="3228212"/>
                    </a:xfrm>
                    <a:prstGeom prst="rect">
                      <a:avLst/>
                    </a:prstGeom>
                  </pic:spPr>
                </pic:pic>
              </a:graphicData>
            </a:graphic>
          </wp:inline>
        </w:drawing>
      </w:r>
    </w:p>
    <w:p w:rsidR="00A31D79" w:rsidRPr="006D0D9E" w:rsidRDefault="00A31D79" w:rsidP="006D0D9E">
      <w:pPr>
        <w:pStyle w:val="BodyText"/>
        <w:spacing w:before="90"/>
        <w:ind w:left="220"/>
        <w:jc w:val="center"/>
        <w:rPr>
          <w:i/>
          <w:sz w:val="22"/>
          <w:szCs w:val="22"/>
          <w:lang w:val="id-ID"/>
        </w:rPr>
      </w:pPr>
      <w:r w:rsidRPr="006D0D9E">
        <w:rPr>
          <w:i/>
          <w:sz w:val="22"/>
          <w:szCs w:val="22"/>
        </w:rPr>
        <w:t xml:space="preserve">Sumber: </w:t>
      </w:r>
      <w:r w:rsidRPr="006D0D9E">
        <w:rPr>
          <w:i/>
          <w:sz w:val="22"/>
          <w:szCs w:val="22"/>
          <w:lang w:val="id-ID"/>
        </w:rPr>
        <w:t>Capaian Pelaksanaan RAN GRK Sektor Energi, Direktorat Konservasi Energi Kementerian ESDM, Agustus 2018.</w:t>
      </w:r>
    </w:p>
    <w:p w:rsidR="00A31D79" w:rsidRPr="00A31D79" w:rsidRDefault="00A31D79" w:rsidP="00A31D79">
      <w:pPr>
        <w:pStyle w:val="BodyText"/>
        <w:spacing w:line="480" w:lineRule="auto"/>
        <w:jc w:val="both"/>
      </w:pPr>
    </w:p>
    <w:p w:rsidR="00A31D79" w:rsidRPr="00A31D79" w:rsidRDefault="00A31D79" w:rsidP="00A31D79">
      <w:pPr>
        <w:pStyle w:val="BodyText"/>
        <w:spacing w:line="480" w:lineRule="auto"/>
        <w:ind w:left="220" w:right="220" w:firstLine="718"/>
        <w:jc w:val="both"/>
      </w:pPr>
      <w:r w:rsidRPr="00A31D79">
        <w:lastRenderedPageBreak/>
        <w:t xml:space="preserve">Untuk menindaklanjuti RAN-GRK, terbit PP 79 tahun 2014 tentang Kebijakan Energi Nasional (KEN) dan Perpres No 22 Tahun 2017 tentang Rencana Umum Energi Nasional (RUEN) yang isinya menetapkan target 23% EBT dari bauran energi primer </w:t>
      </w:r>
      <w:r w:rsidRPr="00A31D79">
        <w:rPr>
          <w:lang w:val="id-ID"/>
        </w:rPr>
        <w:t>dan</w:t>
      </w:r>
      <w:r w:rsidRPr="00A31D79">
        <w:t xml:space="preserve"> 17% efisiensi energi (EE) dari BAU Energi Final.</w:t>
      </w:r>
    </w:p>
    <w:p w:rsidR="00A31D79" w:rsidRPr="0001138B" w:rsidRDefault="00A31D79" w:rsidP="00A31D79">
      <w:pPr>
        <w:pStyle w:val="Heading3"/>
        <w:spacing w:before="90" w:line="480" w:lineRule="auto"/>
        <w:jc w:val="both"/>
        <w:rPr>
          <w:sz w:val="28"/>
          <w:szCs w:val="28"/>
        </w:rPr>
      </w:pPr>
      <w:r w:rsidRPr="0001138B">
        <w:rPr>
          <w:sz w:val="28"/>
          <w:szCs w:val="28"/>
        </w:rPr>
        <w:t>2.</w:t>
      </w:r>
      <w:r w:rsidR="004877A5">
        <w:rPr>
          <w:sz w:val="28"/>
          <w:szCs w:val="28"/>
          <w:lang w:val="id-ID"/>
        </w:rPr>
        <w:t>6</w:t>
      </w:r>
      <w:r w:rsidRPr="0001138B">
        <w:rPr>
          <w:sz w:val="28"/>
          <w:szCs w:val="28"/>
        </w:rPr>
        <w:t xml:space="preserve"> Konservasi Energi</w:t>
      </w:r>
    </w:p>
    <w:p w:rsidR="00A31D79" w:rsidRPr="00A31D79" w:rsidRDefault="00A31D79" w:rsidP="00A31D79">
      <w:pPr>
        <w:pStyle w:val="BodyText"/>
        <w:spacing w:line="480" w:lineRule="auto"/>
        <w:ind w:left="220" w:right="220" w:firstLine="718"/>
        <w:jc w:val="both"/>
      </w:pPr>
      <w:r w:rsidRPr="00A31D79">
        <w:t>Menurut Peraturan Pemerintah No. 70 tahun 2009 tentang Konservasi Energi, definisi konservasi energi adalah upaya sistematis, terencana dan terpadu guna melestarikan sumber daya energi dalam negeri serta meningkatkan efisiensi pemanfaatannya. Konsep dasar konservasi energi adalah pengendalian konsumsi energi. Konsumsi energi meningkat sejalan dengan kegiatan pembangunan yang berdampak pada peningkatan taraf hidup dan pertambahan penduduk.</w:t>
      </w:r>
      <w:r w:rsidRPr="00A31D79">
        <w:rPr>
          <w:lang w:val="id-ID"/>
        </w:rPr>
        <w:t xml:space="preserve"> </w:t>
      </w:r>
      <w:r w:rsidRPr="00A31D79">
        <w:t>Pemanfaatan energi tanpa usaha untuk mengendalikannya atau tanpa usaha untuk menghemat, akan mengakibatkan habisnya cadangan energi dalam waktu yang relatif singkat sehingga berdampak buruk yaitu tidak dapat direalisasikannya pembangunan yang berkelanjutan (</w:t>
      </w:r>
      <w:r w:rsidRPr="00A31D79">
        <w:rPr>
          <w:i/>
          <w:iCs/>
        </w:rPr>
        <w:t>sustainable</w:t>
      </w:r>
      <w:r w:rsidRPr="00A31D79">
        <w:t>).</w:t>
      </w:r>
    </w:p>
    <w:p w:rsidR="00A31D79" w:rsidRPr="00A31D79" w:rsidRDefault="00A31D79" w:rsidP="00E64AEA">
      <w:pPr>
        <w:pStyle w:val="BodyText"/>
        <w:spacing w:line="480" w:lineRule="auto"/>
        <w:ind w:left="142" w:right="220" w:firstLine="796"/>
        <w:jc w:val="both"/>
      </w:pPr>
      <w:r w:rsidRPr="00A31D79">
        <w:t>Konsep dasar ini berlaku bagi semua pengguna energi baik di sektor industri, sektor transportasi, sektor rumahtangga maupun bangunan</w:t>
      </w:r>
      <w:r w:rsidRPr="00A31D79">
        <w:rPr>
          <w:spacing w:val="-3"/>
        </w:rPr>
        <w:t xml:space="preserve"> </w:t>
      </w:r>
      <w:r w:rsidRPr="00A31D79">
        <w:t>komersial.</w:t>
      </w:r>
      <w:r w:rsidRPr="00A31D79">
        <w:rPr>
          <w:lang w:val="id-ID"/>
        </w:rPr>
        <w:t xml:space="preserve"> </w:t>
      </w:r>
      <w:r w:rsidRPr="00A31D79">
        <w:t xml:space="preserve">Undang-Undang Nomor 30 Tahun 2007 Tentang Energi menyebutkan bahwa Pemerintah dan/atau pemerintah daerah berkewajiban menyediakan energi melalui diversivikasi, konservasi, dan intensifikasi sumber energi dan energi. Konservasi Energi Nasional menjadi tanggung jawab Pemerintah, Pemerintah daerah, Pengusaha dan Masyarakat (OJK, 2016). Mereduksi permintaan energi </w:t>
      </w:r>
      <w:r w:rsidRPr="00A31D79">
        <w:lastRenderedPageBreak/>
        <w:t>dunia melalui konservasi dan inovasi merupakan salah satu upaya untuk menurunkan emisi GRK.</w:t>
      </w:r>
    </w:p>
    <w:p w:rsidR="00A31D79" w:rsidRPr="00A31D79" w:rsidRDefault="00A31D79" w:rsidP="00A31D79">
      <w:pPr>
        <w:pStyle w:val="BodyText"/>
        <w:spacing w:line="480" w:lineRule="auto"/>
        <w:ind w:right="220" w:firstLine="938"/>
        <w:jc w:val="both"/>
        <w:rPr>
          <w:lang w:val="id-ID"/>
        </w:rPr>
      </w:pPr>
      <w:r w:rsidRPr="00A31D79">
        <w:rPr>
          <w:lang w:val="id-ID"/>
        </w:rPr>
        <w:t xml:space="preserve">Menurut Kementerian Lingkungan Hidup dan Kehutanan (KLHK), target konservasi energi hingga 2025 meliputi sebagai berikut: </w:t>
      </w:r>
    </w:p>
    <w:p w:rsidR="00A31D79" w:rsidRPr="00A31D79" w:rsidRDefault="00A31D79" w:rsidP="00A31D79">
      <w:pPr>
        <w:pStyle w:val="BodyText"/>
        <w:numPr>
          <w:ilvl w:val="0"/>
          <w:numId w:val="9"/>
        </w:numPr>
        <w:spacing w:line="480" w:lineRule="auto"/>
        <w:ind w:right="220"/>
        <w:jc w:val="both"/>
        <w:rPr>
          <w:lang w:val="id-ID"/>
        </w:rPr>
      </w:pPr>
      <w:r w:rsidRPr="00A31D79">
        <w:rPr>
          <w:lang w:val="id-ID"/>
        </w:rPr>
        <w:t xml:space="preserve">untuk mencapai elastisitas energi dibawah satu pada 2025, </w:t>
      </w:r>
    </w:p>
    <w:p w:rsidR="00A31D79" w:rsidRPr="00A31D79" w:rsidRDefault="00A31D79" w:rsidP="00A31D79">
      <w:pPr>
        <w:pStyle w:val="BodyText"/>
        <w:numPr>
          <w:ilvl w:val="0"/>
          <w:numId w:val="9"/>
        </w:numPr>
        <w:spacing w:line="480" w:lineRule="auto"/>
        <w:ind w:right="220"/>
        <w:jc w:val="both"/>
        <w:rPr>
          <w:lang w:val="id-ID"/>
        </w:rPr>
      </w:pPr>
      <w:r w:rsidRPr="00A31D79">
        <w:rPr>
          <w:lang w:val="id-ID"/>
        </w:rPr>
        <w:t>untuk mereduksi intensitas energi sebesar 1 persen per tahun hingga 2025</w:t>
      </w:r>
    </w:p>
    <w:p w:rsidR="00A31D79" w:rsidRPr="00A31D79" w:rsidRDefault="00A31D79" w:rsidP="00A31D79">
      <w:pPr>
        <w:pStyle w:val="BodyText"/>
        <w:numPr>
          <w:ilvl w:val="0"/>
          <w:numId w:val="9"/>
        </w:numPr>
        <w:spacing w:line="480" w:lineRule="auto"/>
        <w:ind w:right="220"/>
        <w:jc w:val="both"/>
        <w:rPr>
          <w:lang w:val="id-ID"/>
        </w:rPr>
      </w:pPr>
      <w:r w:rsidRPr="00A31D79">
        <w:rPr>
          <w:lang w:val="id-ID"/>
        </w:rPr>
        <w:t xml:space="preserve"> untuk mencapai penghematan energi final hingga 17 persen di 2025 atau sebesar 366 juta barrel of oil equivalent (BOE) dengan potensial penurunan emisi GRK hingga 195 juta ton CO2. </w:t>
      </w:r>
    </w:p>
    <w:p w:rsidR="00A31D79" w:rsidRPr="004877A5" w:rsidRDefault="004877A5" w:rsidP="003F5C7C">
      <w:pPr>
        <w:pStyle w:val="Heading3"/>
        <w:tabs>
          <w:tab w:val="left" w:pos="641"/>
        </w:tabs>
        <w:spacing w:line="480" w:lineRule="auto"/>
        <w:ind w:left="0"/>
        <w:jc w:val="both"/>
        <w:rPr>
          <w:b w:val="0"/>
          <w:lang w:val="id-ID"/>
        </w:rPr>
      </w:pPr>
      <w:r>
        <w:rPr>
          <w:sz w:val="28"/>
          <w:szCs w:val="28"/>
          <w:lang w:val="id-ID"/>
        </w:rPr>
        <w:t>2.7</w:t>
      </w:r>
      <w:r w:rsidR="00A31D79" w:rsidRPr="003F5C7C">
        <w:rPr>
          <w:sz w:val="28"/>
          <w:szCs w:val="28"/>
          <w:lang w:val="id-ID"/>
        </w:rPr>
        <w:t xml:space="preserve"> </w:t>
      </w:r>
      <w:r w:rsidR="00A31D79" w:rsidRPr="003F5C7C">
        <w:rPr>
          <w:sz w:val="28"/>
          <w:szCs w:val="28"/>
        </w:rPr>
        <w:t>Energi Baru dan Terbarukan</w:t>
      </w:r>
      <w:r w:rsidR="00A31D79" w:rsidRPr="003F5C7C">
        <w:rPr>
          <w:spacing w:val="-1"/>
          <w:sz w:val="28"/>
          <w:szCs w:val="28"/>
        </w:rPr>
        <w:t xml:space="preserve"> </w:t>
      </w:r>
      <w:r w:rsidR="003F5C7C">
        <w:rPr>
          <w:sz w:val="28"/>
          <w:szCs w:val="28"/>
        </w:rPr>
        <w:t>(EBT</w:t>
      </w:r>
      <w:r>
        <w:rPr>
          <w:sz w:val="28"/>
          <w:szCs w:val="28"/>
          <w:lang w:val="id-ID"/>
        </w:rPr>
        <w:t>)</w:t>
      </w:r>
    </w:p>
    <w:p w:rsidR="00A31D79" w:rsidRPr="00A31D79" w:rsidRDefault="00A31D79" w:rsidP="00A31D79">
      <w:pPr>
        <w:pStyle w:val="BodyText"/>
        <w:spacing w:line="480" w:lineRule="auto"/>
        <w:ind w:right="21" w:firstLine="720"/>
        <w:jc w:val="both"/>
      </w:pPr>
      <w:r w:rsidRPr="00A31D79">
        <w:t xml:space="preserve">Menjaga konsentrasi </w:t>
      </w:r>
      <w:r w:rsidR="003F5C7C">
        <w:rPr>
          <w:lang w:val="id-ID"/>
        </w:rPr>
        <w:t>emisi gas rumah kaca (</w:t>
      </w:r>
      <w:r w:rsidRPr="00A31D79">
        <w:t>GRK</w:t>
      </w:r>
      <w:r w:rsidR="003F5C7C">
        <w:rPr>
          <w:lang w:val="id-ID"/>
        </w:rPr>
        <w:t>)</w:t>
      </w:r>
      <w:r w:rsidRPr="00A31D79">
        <w:t xml:space="preserve"> di bawah 450 </w:t>
      </w:r>
      <w:r w:rsidR="003F5C7C">
        <w:rPr>
          <w:lang w:val="id-ID"/>
        </w:rPr>
        <w:t>part per million (</w:t>
      </w:r>
      <w:r w:rsidRPr="00A31D79">
        <w:t>ppm</w:t>
      </w:r>
      <w:r w:rsidR="003F5C7C">
        <w:rPr>
          <w:lang w:val="id-ID"/>
        </w:rPr>
        <w:t>)</w:t>
      </w:r>
      <w:r w:rsidRPr="00A31D79">
        <w:t xml:space="preserve"> memerlukan pengembangan untuk </w:t>
      </w:r>
      <w:r w:rsidR="003F5C7C">
        <w:t>dapat menangkap CO2 dari atmosfe</w:t>
      </w:r>
      <w:r w:rsidRPr="00A31D79">
        <w:t>r, salah satu caranya dengan meninggalkan pembangkit listrik dari batu bara, gas dan minyak dan beralih ke pembangkit listrik energi air, nuklir, solar dan angin. Berdasarkan Per</w:t>
      </w:r>
      <w:r w:rsidR="003F5C7C">
        <w:rPr>
          <w:lang w:val="id-ID"/>
        </w:rPr>
        <w:t>aturan Menteri (Per</w:t>
      </w:r>
      <w:r w:rsidRPr="00A31D79">
        <w:t>men</w:t>
      </w:r>
      <w:r w:rsidR="003F5C7C">
        <w:rPr>
          <w:lang w:val="id-ID"/>
        </w:rPr>
        <w:t>)</w:t>
      </w:r>
      <w:r w:rsidRPr="00A31D79">
        <w:t xml:space="preserve"> ESDM Nomor 12 Tahun 2017, yang dimaksud dengan sumber energi terbarukan adalah sumber energi yang dihasilkan dari sumberdaya energi yang berkelanjutan jika dikelola dengan baik, antara lain panas bumi, angin, bioenergi, sinar matahari serta gerakan dan perbedaan suhu lapisan laut.</w:t>
      </w:r>
    </w:p>
    <w:p w:rsidR="00A31D79" w:rsidRPr="00A31D79" w:rsidRDefault="00A31D79" w:rsidP="008056CD">
      <w:pPr>
        <w:pStyle w:val="BodyText"/>
        <w:spacing w:line="480" w:lineRule="auto"/>
        <w:ind w:right="21" w:firstLine="720"/>
        <w:jc w:val="both"/>
      </w:pPr>
      <w:r w:rsidRPr="00A31D79">
        <w:t xml:space="preserve">Berikut sejumlah peraturan pendukung EBT di Indonesia yang sudah terbit </w:t>
      </w:r>
      <w:r w:rsidR="003F5C7C">
        <w:rPr>
          <w:lang w:val="id-ID"/>
        </w:rPr>
        <w:t>seperti dirangkum di (Tabel 5) di bawah ini</w:t>
      </w:r>
      <w:r w:rsidRPr="00A31D79">
        <w:t>:</w:t>
      </w:r>
    </w:p>
    <w:p w:rsidR="00A31D79" w:rsidRPr="00A31D79" w:rsidRDefault="00A31D79" w:rsidP="00A31D79">
      <w:pPr>
        <w:pStyle w:val="BodyText"/>
        <w:spacing w:line="480" w:lineRule="auto"/>
        <w:ind w:right="21" w:firstLine="720"/>
        <w:jc w:val="both"/>
        <w:rPr>
          <w:b/>
          <w:lang w:val="en-ID"/>
        </w:rPr>
      </w:pPr>
    </w:p>
    <w:p w:rsidR="00A31D79" w:rsidRPr="00A31D79" w:rsidRDefault="00A31D79" w:rsidP="00A31D79">
      <w:pPr>
        <w:pStyle w:val="BodyText"/>
        <w:spacing w:line="480" w:lineRule="auto"/>
        <w:ind w:right="21" w:firstLine="720"/>
        <w:jc w:val="both"/>
        <w:rPr>
          <w:b/>
          <w:lang w:val="en-ID"/>
        </w:rPr>
      </w:pPr>
    </w:p>
    <w:p w:rsidR="00A31D79" w:rsidRPr="00A31D79" w:rsidRDefault="00A31D79" w:rsidP="00A31D79">
      <w:pPr>
        <w:pStyle w:val="BodyText"/>
        <w:spacing w:line="480" w:lineRule="auto"/>
        <w:ind w:right="21" w:firstLine="720"/>
        <w:jc w:val="both"/>
        <w:rPr>
          <w:b/>
          <w:lang w:val="en-ID"/>
        </w:rPr>
      </w:pPr>
    </w:p>
    <w:p w:rsidR="00A31D79" w:rsidRPr="00A31D79" w:rsidRDefault="00A31D79" w:rsidP="00A31D79">
      <w:pPr>
        <w:pStyle w:val="BodyText"/>
        <w:spacing w:line="480" w:lineRule="auto"/>
        <w:ind w:right="21"/>
        <w:jc w:val="both"/>
        <w:rPr>
          <w:b/>
          <w:lang w:val="en-ID"/>
        </w:rPr>
      </w:pPr>
      <w:r w:rsidRPr="00A31D79">
        <w:rPr>
          <w:b/>
          <w:lang w:val="en-ID"/>
        </w:rPr>
        <w:lastRenderedPageBreak/>
        <w:t>Tabel</w:t>
      </w:r>
      <w:r w:rsidRPr="00A31D79">
        <w:rPr>
          <w:b/>
          <w:lang w:val="id-ID"/>
        </w:rPr>
        <w:t xml:space="preserve"> 5</w:t>
      </w:r>
      <w:r w:rsidRPr="00A31D79">
        <w:rPr>
          <w:b/>
          <w:lang w:val="en-ID"/>
        </w:rPr>
        <w:t>. Peraturan Pendukung EBT</w:t>
      </w:r>
    </w:p>
    <w:tbl>
      <w:tblPr>
        <w:tblStyle w:val="TableGrid"/>
        <w:tblW w:w="0" w:type="auto"/>
        <w:tblInd w:w="0" w:type="dxa"/>
        <w:tblLook w:val="04A0" w:firstRow="1" w:lastRow="0" w:firstColumn="1" w:lastColumn="0" w:noHBand="0" w:noVBand="1"/>
      </w:tblPr>
      <w:tblGrid>
        <w:gridCol w:w="706"/>
        <w:gridCol w:w="7225"/>
      </w:tblGrid>
      <w:tr w:rsidR="00A31D79" w:rsidRPr="003F5C7C" w:rsidTr="007301D6">
        <w:tc>
          <w:tcPr>
            <w:tcW w:w="706" w:type="dxa"/>
          </w:tcPr>
          <w:p w:rsidR="00A31D79" w:rsidRPr="003F5C7C" w:rsidRDefault="00A31D79" w:rsidP="003F5C7C">
            <w:pPr>
              <w:pStyle w:val="BodyText"/>
              <w:spacing w:before="120" w:after="120"/>
              <w:ind w:right="21"/>
              <w:jc w:val="center"/>
              <w:rPr>
                <w:rFonts w:hint="default"/>
                <w:sz w:val="22"/>
                <w:szCs w:val="22"/>
              </w:rPr>
            </w:pPr>
            <w:r w:rsidRPr="003F5C7C">
              <w:rPr>
                <w:rFonts w:hint="default"/>
                <w:sz w:val="22"/>
                <w:szCs w:val="22"/>
              </w:rPr>
              <w:t>NO</w:t>
            </w:r>
          </w:p>
        </w:tc>
        <w:tc>
          <w:tcPr>
            <w:tcW w:w="7229" w:type="dxa"/>
          </w:tcPr>
          <w:p w:rsidR="00A31D79" w:rsidRPr="003F5C7C" w:rsidRDefault="00A31D79" w:rsidP="003F5C7C">
            <w:pPr>
              <w:pStyle w:val="BodyText"/>
              <w:spacing w:before="120" w:after="120"/>
              <w:ind w:right="21"/>
              <w:jc w:val="center"/>
              <w:rPr>
                <w:rFonts w:hint="default"/>
                <w:sz w:val="22"/>
                <w:szCs w:val="22"/>
              </w:rPr>
            </w:pPr>
            <w:r w:rsidRPr="003F5C7C">
              <w:rPr>
                <w:rFonts w:hint="default"/>
                <w:sz w:val="22"/>
                <w:szCs w:val="22"/>
              </w:rPr>
              <w:t>PERATURAN PENDUKUNG EBT</w:t>
            </w:r>
          </w:p>
        </w:tc>
      </w:tr>
      <w:tr w:rsidR="00A31D79" w:rsidRPr="003F5C7C" w:rsidTr="007301D6">
        <w:tc>
          <w:tcPr>
            <w:tcW w:w="706" w:type="dxa"/>
          </w:tcPr>
          <w:p w:rsidR="00A31D79" w:rsidRPr="003F5C7C" w:rsidRDefault="00A31D79" w:rsidP="003F5C7C">
            <w:pPr>
              <w:pStyle w:val="BodyText"/>
              <w:spacing w:before="120" w:after="120"/>
              <w:ind w:right="21"/>
              <w:jc w:val="center"/>
              <w:rPr>
                <w:rFonts w:hint="default"/>
                <w:sz w:val="22"/>
                <w:szCs w:val="22"/>
              </w:rPr>
            </w:pPr>
            <w:r w:rsidRPr="003F5C7C">
              <w:rPr>
                <w:rFonts w:hint="default"/>
                <w:sz w:val="22"/>
                <w:szCs w:val="22"/>
              </w:rPr>
              <w:t>1.</w:t>
            </w:r>
          </w:p>
        </w:tc>
        <w:tc>
          <w:tcPr>
            <w:tcW w:w="7229" w:type="dxa"/>
          </w:tcPr>
          <w:p w:rsidR="00A31D79" w:rsidRPr="003F5C7C" w:rsidRDefault="00A31D79" w:rsidP="003F5C7C">
            <w:pPr>
              <w:tabs>
                <w:tab w:val="left" w:pos="0"/>
              </w:tabs>
              <w:spacing w:before="120" w:after="120"/>
              <w:ind w:right="23"/>
              <w:jc w:val="both"/>
              <w:rPr>
                <w:rFonts w:hint="default"/>
              </w:rPr>
            </w:pPr>
            <w:r w:rsidRPr="003F5C7C">
              <w:rPr>
                <w:rFonts w:hint="default"/>
              </w:rPr>
              <w:t>Undang-undang Nomor 30 tahun 2007 tentang Energi; regulasi payung penekanan khusus terhadap EBT Pasal 20 ayat (3) mengamanatkan bahwa penyediaan energi baru dan energi terbarukan wajib ditingkatkan oleh Pemerintah dan pemerintah daerah sesuai dengan</w:t>
            </w:r>
            <w:r w:rsidRPr="003F5C7C">
              <w:rPr>
                <w:rFonts w:hint="default"/>
                <w:spacing w:val="-1"/>
              </w:rPr>
              <w:t xml:space="preserve"> </w:t>
            </w:r>
            <w:r w:rsidRPr="003F5C7C">
              <w:rPr>
                <w:rFonts w:hint="default"/>
              </w:rPr>
              <w:t>kewenangannya</w:t>
            </w:r>
          </w:p>
        </w:tc>
      </w:tr>
      <w:tr w:rsidR="00A31D79" w:rsidRPr="003F5C7C" w:rsidTr="007301D6">
        <w:tc>
          <w:tcPr>
            <w:tcW w:w="706" w:type="dxa"/>
          </w:tcPr>
          <w:p w:rsidR="00A31D79" w:rsidRPr="003F5C7C" w:rsidRDefault="00A31D79" w:rsidP="003F5C7C">
            <w:pPr>
              <w:pStyle w:val="BodyText"/>
              <w:spacing w:before="120" w:after="120"/>
              <w:ind w:right="21"/>
              <w:jc w:val="center"/>
              <w:rPr>
                <w:rFonts w:hint="default"/>
                <w:sz w:val="22"/>
                <w:szCs w:val="22"/>
              </w:rPr>
            </w:pPr>
            <w:r w:rsidRPr="003F5C7C">
              <w:rPr>
                <w:rFonts w:hint="default"/>
                <w:sz w:val="22"/>
                <w:szCs w:val="22"/>
              </w:rPr>
              <w:t>2.</w:t>
            </w:r>
          </w:p>
        </w:tc>
        <w:tc>
          <w:tcPr>
            <w:tcW w:w="7229" w:type="dxa"/>
          </w:tcPr>
          <w:p w:rsidR="00A31D79" w:rsidRPr="003F5C7C" w:rsidRDefault="00A31D79" w:rsidP="003F5C7C">
            <w:pPr>
              <w:tabs>
                <w:tab w:val="left" w:pos="0"/>
              </w:tabs>
              <w:spacing w:before="120" w:after="120"/>
              <w:ind w:right="21"/>
              <w:jc w:val="both"/>
              <w:rPr>
                <w:rFonts w:hint="default"/>
              </w:rPr>
            </w:pPr>
            <w:r w:rsidRPr="003F5C7C">
              <w:rPr>
                <w:rFonts w:hint="default"/>
              </w:rPr>
              <w:t>Undang-undang Nomor 30 tahun 2007 tentang Energi; regulasi payung penekanan khusus terhadap EBT Pasal 20 ayat (3) mengamanatkan bahwa penyediaan energi baru dan energi terbarukan wajib ditingkatkan oleh Pemerintah dan pemerintah daerah sesuai dengan</w:t>
            </w:r>
            <w:r w:rsidRPr="003F5C7C">
              <w:rPr>
                <w:rFonts w:hint="default"/>
                <w:spacing w:val="-1"/>
              </w:rPr>
              <w:t xml:space="preserve"> </w:t>
            </w:r>
            <w:r w:rsidRPr="003F5C7C">
              <w:rPr>
                <w:rFonts w:hint="default"/>
              </w:rPr>
              <w:t>kewenangannya</w:t>
            </w:r>
          </w:p>
        </w:tc>
      </w:tr>
      <w:tr w:rsidR="00A31D79" w:rsidRPr="003F5C7C" w:rsidTr="007301D6">
        <w:tc>
          <w:tcPr>
            <w:tcW w:w="706" w:type="dxa"/>
          </w:tcPr>
          <w:p w:rsidR="00A31D79" w:rsidRPr="003F5C7C" w:rsidRDefault="00A31D79" w:rsidP="003F5C7C">
            <w:pPr>
              <w:pStyle w:val="BodyText"/>
              <w:spacing w:before="120" w:after="120"/>
              <w:ind w:right="21"/>
              <w:jc w:val="center"/>
              <w:rPr>
                <w:rFonts w:hint="default"/>
                <w:sz w:val="22"/>
                <w:szCs w:val="22"/>
              </w:rPr>
            </w:pPr>
            <w:r w:rsidRPr="003F5C7C">
              <w:rPr>
                <w:rFonts w:hint="default"/>
                <w:sz w:val="22"/>
                <w:szCs w:val="22"/>
              </w:rPr>
              <w:t>3.</w:t>
            </w:r>
          </w:p>
        </w:tc>
        <w:tc>
          <w:tcPr>
            <w:tcW w:w="7229" w:type="dxa"/>
          </w:tcPr>
          <w:p w:rsidR="00A31D79" w:rsidRPr="003F5C7C" w:rsidRDefault="00A31D79" w:rsidP="003F5C7C">
            <w:pPr>
              <w:tabs>
                <w:tab w:val="left" w:pos="0"/>
              </w:tabs>
              <w:spacing w:before="120" w:after="120"/>
              <w:ind w:right="21"/>
              <w:jc w:val="both"/>
              <w:rPr>
                <w:rFonts w:hint="default"/>
              </w:rPr>
            </w:pPr>
            <w:r w:rsidRPr="003F5C7C">
              <w:rPr>
                <w:rFonts w:hint="default"/>
              </w:rPr>
              <w:t>Undang-undang Nomor 30 tahun 2007 tentang Energi; regulasi payung penekanan khusus terhadap EBT Pasal 20 ayat (3) mengamanatkan bahwa penyediaan energi baru dan energi terbarukan wajib ditingkatkan oleh Pemerintah dan pemerintah daerah sesuai dengan</w:t>
            </w:r>
            <w:r w:rsidRPr="003F5C7C">
              <w:rPr>
                <w:rFonts w:hint="default"/>
                <w:spacing w:val="-1"/>
              </w:rPr>
              <w:t xml:space="preserve"> </w:t>
            </w:r>
            <w:r w:rsidRPr="003F5C7C">
              <w:rPr>
                <w:rFonts w:hint="default"/>
              </w:rPr>
              <w:t>kewenangannya</w:t>
            </w:r>
          </w:p>
        </w:tc>
      </w:tr>
      <w:tr w:rsidR="00A31D79" w:rsidRPr="003F5C7C" w:rsidTr="007301D6">
        <w:tc>
          <w:tcPr>
            <w:tcW w:w="706" w:type="dxa"/>
          </w:tcPr>
          <w:p w:rsidR="00A31D79" w:rsidRPr="003F5C7C" w:rsidRDefault="00A31D79" w:rsidP="003F5C7C">
            <w:pPr>
              <w:pStyle w:val="BodyText"/>
              <w:spacing w:before="120" w:after="120"/>
              <w:ind w:right="21"/>
              <w:jc w:val="center"/>
              <w:rPr>
                <w:rFonts w:hint="default"/>
                <w:sz w:val="22"/>
                <w:szCs w:val="22"/>
              </w:rPr>
            </w:pPr>
            <w:r w:rsidRPr="003F5C7C">
              <w:rPr>
                <w:rFonts w:hint="default"/>
                <w:sz w:val="22"/>
                <w:szCs w:val="22"/>
              </w:rPr>
              <w:t>4.</w:t>
            </w:r>
          </w:p>
        </w:tc>
        <w:tc>
          <w:tcPr>
            <w:tcW w:w="7229" w:type="dxa"/>
          </w:tcPr>
          <w:p w:rsidR="00A31D79" w:rsidRPr="003F5C7C" w:rsidRDefault="00A31D79" w:rsidP="003F5C7C">
            <w:pPr>
              <w:tabs>
                <w:tab w:val="left" w:pos="0"/>
              </w:tabs>
              <w:spacing w:before="120" w:after="120"/>
              <w:ind w:right="21"/>
              <w:jc w:val="both"/>
              <w:rPr>
                <w:rFonts w:hint="default"/>
              </w:rPr>
            </w:pPr>
            <w:r w:rsidRPr="003F5C7C">
              <w:rPr>
                <w:rFonts w:hint="default"/>
              </w:rPr>
              <w:t>Undang-undang Nomor 30 tahun 2007 tentang Energi; regulasi payung penekanan khusus terhadap EBT Pasal 20 ayat (3) mengamanatkan bahwa penyediaan energi baru dan energi terbarukan wajib ditingkatkan oleh Pemerintah dan pemerintah daerah sesuai dengan</w:t>
            </w:r>
            <w:r w:rsidRPr="003F5C7C">
              <w:rPr>
                <w:rFonts w:hint="default"/>
                <w:spacing w:val="-1"/>
              </w:rPr>
              <w:t xml:space="preserve"> </w:t>
            </w:r>
            <w:r w:rsidRPr="003F5C7C">
              <w:rPr>
                <w:rFonts w:hint="default"/>
              </w:rPr>
              <w:t>kewenangannya</w:t>
            </w:r>
          </w:p>
        </w:tc>
      </w:tr>
      <w:tr w:rsidR="00A31D79" w:rsidRPr="003F5C7C" w:rsidTr="007301D6">
        <w:tc>
          <w:tcPr>
            <w:tcW w:w="706" w:type="dxa"/>
          </w:tcPr>
          <w:p w:rsidR="00A31D79" w:rsidRPr="003F5C7C" w:rsidRDefault="00A31D79" w:rsidP="003F5C7C">
            <w:pPr>
              <w:pStyle w:val="BodyText"/>
              <w:spacing w:before="120" w:after="120"/>
              <w:ind w:right="21"/>
              <w:jc w:val="center"/>
              <w:rPr>
                <w:rFonts w:hint="default"/>
                <w:sz w:val="22"/>
                <w:szCs w:val="22"/>
              </w:rPr>
            </w:pPr>
            <w:r w:rsidRPr="003F5C7C">
              <w:rPr>
                <w:rFonts w:hint="default"/>
                <w:sz w:val="22"/>
                <w:szCs w:val="22"/>
              </w:rPr>
              <w:t>5.</w:t>
            </w:r>
          </w:p>
        </w:tc>
        <w:tc>
          <w:tcPr>
            <w:tcW w:w="7229" w:type="dxa"/>
          </w:tcPr>
          <w:p w:rsidR="00A31D79" w:rsidRPr="003F5C7C" w:rsidRDefault="00A31D79" w:rsidP="003F5C7C">
            <w:pPr>
              <w:pStyle w:val="BodyText"/>
              <w:spacing w:before="120" w:after="120"/>
              <w:ind w:right="21"/>
              <w:jc w:val="both"/>
              <w:rPr>
                <w:rFonts w:hint="default"/>
                <w:sz w:val="22"/>
                <w:szCs w:val="22"/>
              </w:rPr>
            </w:pPr>
            <w:r w:rsidRPr="003F5C7C">
              <w:rPr>
                <w:rFonts w:hint="default"/>
                <w:sz w:val="22"/>
                <w:szCs w:val="22"/>
              </w:rPr>
              <w:t>Undang-undang Nomor 30 tahun 2009 tentang</w:t>
            </w:r>
            <w:r w:rsidRPr="003F5C7C">
              <w:rPr>
                <w:rFonts w:hint="default"/>
                <w:spacing w:val="-4"/>
                <w:sz w:val="22"/>
                <w:szCs w:val="22"/>
              </w:rPr>
              <w:t xml:space="preserve"> </w:t>
            </w:r>
            <w:r w:rsidRPr="003F5C7C">
              <w:rPr>
                <w:rFonts w:hint="default"/>
                <w:sz w:val="22"/>
                <w:szCs w:val="22"/>
              </w:rPr>
              <w:t>Ketenagalistrikan</w:t>
            </w:r>
          </w:p>
        </w:tc>
      </w:tr>
      <w:tr w:rsidR="00A31D79" w:rsidRPr="003F5C7C" w:rsidTr="007301D6">
        <w:tc>
          <w:tcPr>
            <w:tcW w:w="706" w:type="dxa"/>
          </w:tcPr>
          <w:p w:rsidR="00A31D79" w:rsidRPr="003F5C7C" w:rsidRDefault="00A31D79" w:rsidP="003F5C7C">
            <w:pPr>
              <w:pStyle w:val="BodyText"/>
              <w:spacing w:before="120" w:after="120"/>
              <w:ind w:right="21"/>
              <w:jc w:val="center"/>
              <w:rPr>
                <w:rFonts w:hint="default"/>
                <w:sz w:val="22"/>
                <w:szCs w:val="22"/>
              </w:rPr>
            </w:pPr>
            <w:r w:rsidRPr="003F5C7C">
              <w:rPr>
                <w:rFonts w:hint="default"/>
                <w:sz w:val="22"/>
                <w:szCs w:val="22"/>
              </w:rPr>
              <w:t>6.</w:t>
            </w:r>
          </w:p>
        </w:tc>
        <w:tc>
          <w:tcPr>
            <w:tcW w:w="7229" w:type="dxa"/>
          </w:tcPr>
          <w:p w:rsidR="00A31D79" w:rsidRPr="003F5C7C" w:rsidRDefault="00A31D79" w:rsidP="003F5C7C">
            <w:pPr>
              <w:pStyle w:val="BodyText"/>
              <w:spacing w:before="120" w:after="120"/>
              <w:ind w:right="21"/>
              <w:jc w:val="both"/>
              <w:rPr>
                <w:rFonts w:hint="default"/>
                <w:sz w:val="22"/>
                <w:szCs w:val="22"/>
              </w:rPr>
            </w:pPr>
            <w:r w:rsidRPr="003F5C7C">
              <w:rPr>
                <w:rFonts w:hint="default"/>
                <w:sz w:val="22"/>
                <w:szCs w:val="22"/>
              </w:rPr>
              <w:t>Undang-undang Nomor 21 tahun 2014 tentang Panas</w:t>
            </w:r>
            <w:r w:rsidRPr="003F5C7C">
              <w:rPr>
                <w:rFonts w:hint="default"/>
                <w:spacing w:val="-3"/>
                <w:sz w:val="22"/>
                <w:szCs w:val="22"/>
              </w:rPr>
              <w:t xml:space="preserve"> </w:t>
            </w:r>
            <w:r w:rsidRPr="003F5C7C">
              <w:rPr>
                <w:rFonts w:hint="default"/>
                <w:sz w:val="22"/>
                <w:szCs w:val="22"/>
              </w:rPr>
              <w:t>Bumi</w:t>
            </w:r>
          </w:p>
        </w:tc>
      </w:tr>
      <w:tr w:rsidR="00A31D79" w:rsidRPr="003F5C7C" w:rsidTr="007301D6">
        <w:tc>
          <w:tcPr>
            <w:tcW w:w="706" w:type="dxa"/>
          </w:tcPr>
          <w:p w:rsidR="00A31D79" w:rsidRPr="003F5C7C" w:rsidRDefault="00A31D79" w:rsidP="003F5C7C">
            <w:pPr>
              <w:pStyle w:val="BodyText"/>
              <w:spacing w:before="120" w:after="120"/>
              <w:ind w:right="21"/>
              <w:jc w:val="center"/>
              <w:rPr>
                <w:rFonts w:hint="default"/>
                <w:sz w:val="22"/>
                <w:szCs w:val="22"/>
              </w:rPr>
            </w:pPr>
            <w:r w:rsidRPr="003F5C7C">
              <w:rPr>
                <w:rFonts w:hint="default"/>
                <w:sz w:val="22"/>
                <w:szCs w:val="22"/>
              </w:rPr>
              <w:t>7.</w:t>
            </w:r>
          </w:p>
        </w:tc>
        <w:tc>
          <w:tcPr>
            <w:tcW w:w="7229" w:type="dxa"/>
          </w:tcPr>
          <w:p w:rsidR="00A31D79" w:rsidRPr="003F5C7C" w:rsidRDefault="00A31D79" w:rsidP="003F5C7C">
            <w:pPr>
              <w:pStyle w:val="BodyText"/>
              <w:spacing w:before="120" w:after="120"/>
              <w:ind w:right="21"/>
              <w:jc w:val="both"/>
              <w:rPr>
                <w:rFonts w:hint="default"/>
                <w:sz w:val="22"/>
                <w:szCs w:val="22"/>
              </w:rPr>
            </w:pPr>
            <w:r w:rsidRPr="003F5C7C">
              <w:rPr>
                <w:rFonts w:hint="default"/>
                <w:sz w:val="22"/>
                <w:szCs w:val="22"/>
              </w:rPr>
              <w:t>Undang-undang Nomor 16 tahun 2016 tentang Pengesahan Paris Agreement To The United Nations Framework Convention On Climate</w:t>
            </w:r>
            <w:r w:rsidRPr="003F5C7C">
              <w:rPr>
                <w:rFonts w:hint="default"/>
                <w:spacing w:val="-3"/>
                <w:sz w:val="22"/>
                <w:szCs w:val="22"/>
              </w:rPr>
              <w:t xml:space="preserve"> </w:t>
            </w:r>
            <w:r w:rsidRPr="003F5C7C">
              <w:rPr>
                <w:rFonts w:hint="default"/>
                <w:sz w:val="22"/>
                <w:szCs w:val="22"/>
              </w:rPr>
              <w:t>Change</w:t>
            </w:r>
          </w:p>
        </w:tc>
      </w:tr>
      <w:tr w:rsidR="00A31D79" w:rsidRPr="003F5C7C" w:rsidTr="007301D6">
        <w:tc>
          <w:tcPr>
            <w:tcW w:w="706" w:type="dxa"/>
          </w:tcPr>
          <w:p w:rsidR="00A31D79" w:rsidRPr="003F5C7C" w:rsidRDefault="00A31D79" w:rsidP="003F5C7C">
            <w:pPr>
              <w:pStyle w:val="BodyText"/>
              <w:spacing w:before="120" w:after="120"/>
              <w:ind w:right="21"/>
              <w:jc w:val="center"/>
              <w:rPr>
                <w:rFonts w:hint="default"/>
                <w:sz w:val="22"/>
                <w:szCs w:val="22"/>
              </w:rPr>
            </w:pPr>
            <w:r w:rsidRPr="003F5C7C">
              <w:rPr>
                <w:rFonts w:hint="default"/>
                <w:sz w:val="22"/>
                <w:szCs w:val="22"/>
              </w:rPr>
              <w:t>8.</w:t>
            </w:r>
          </w:p>
        </w:tc>
        <w:tc>
          <w:tcPr>
            <w:tcW w:w="7229" w:type="dxa"/>
          </w:tcPr>
          <w:p w:rsidR="00A31D79" w:rsidRPr="003F5C7C" w:rsidRDefault="00A31D79" w:rsidP="003F5C7C">
            <w:pPr>
              <w:pStyle w:val="BodyText"/>
              <w:spacing w:before="120" w:after="120"/>
              <w:ind w:right="21"/>
              <w:jc w:val="both"/>
              <w:rPr>
                <w:rFonts w:hint="default"/>
                <w:sz w:val="22"/>
                <w:szCs w:val="22"/>
              </w:rPr>
            </w:pPr>
            <w:r w:rsidRPr="003F5C7C">
              <w:rPr>
                <w:rFonts w:hint="default"/>
                <w:sz w:val="22"/>
                <w:szCs w:val="22"/>
              </w:rPr>
              <w:t>Peraturan Pemerintah Nomor 79 tahun 2014 tentang Kebijakan Energi Nasional, Pasal 9 mengamanatkan bahwa peran Energi Baru dan Energi Terbarukan paling sedikit 23% tahun 2025 dan paling sedikit 31% tahun 2050 sepanjang keekonomiannya terpenuhi</w:t>
            </w:r>
          </w:p>
        </w:tc>
      </w:tr>
      <w:tr w:rsidR="00A31D79" w:rsidRPr="003F5C7C" w:rsidTr="007301D6">
        <w:tc>
          <w:tcPr>
            <w:tcW w:w="706" w:type="dxa"/>
          </w:tcPr>
          <w:p w:rsidR="00A31D79" w:rsidRPr="003F5C7C" w:rsidRDefault="00A31D79" w:rsidP="003F5C7C">
            <w:pPr>
              <w:pStyle w:val="BodyText"/>
              <w:spacing w:before="120" w:after="120"/>
              <w:ind w:right="21"/>
              <w:jc w:val="center"/>
              <w:rPr>
                <w:rFonts w:hint="default"/>
                <w:sz w:val="22"/>
                <w:szCs w:val="22"/>
              </w:rPr>
            </w:pPr>
            <w:r w:rsidRPr="003F5C7C">
              <w:rPr>
                <w:rFonts w:hint="default"/>
                <w:sz w:val="22"/>
                <w:szCs w:val="22"/>
              </w:rPr>
              <w:t>9.</w:t>
            </w:r>
          </w:p>
        </w:tc>
        <w:tc>
          <w:tcPr>
            <w:tcW w:w="7229" w:type="dxa"/>
          </w:tcPr>
          <w:p w:rsidR="00A31D79" w:rsidRPr="003F5C7C" w:rsidRDefault="00A31D79" w:rsidP="003F5C7C">
            <w:pPr>
              <w:pStyle w:val="BodyText"/>
              <w:spacing w:before="120" w:after="120"/>
              <w:ind w:right="21"/>
              <w:jc w:val="both"/>
              <w:rPr>
                <w:rFonts w:hint="default"/>
                <w:sz w:val="22"/>
                <w:szCs w:val="22"/>
              </w:rPr>
            </w:pPr>
            <w:r w:rsidRPr="003F5C7C">
              <w:rPr>
                <w:rFonts w:hint="default"/>
                <w:sz w:val="22"/>
                <w:szCs w:val="22"/>
              </w:rPr>
              <w:t>Peraturan Pemerintah Nomor 7 Tahun 2017 tentang Panas Bumi untuk Pemanfaatan Tidak</w:t>
            </w:r>
            <w:r w:rsidRPr="003F5C7C">
              <w:rPr>
                <w:rFonts w:hint="default"/>
                <w:spacing w:val="1"/>
                <w:sz w:val="22"/>
                <w:szCs w:val="22"/>
              </w:rPr>
              <w:t xml:space="preserve"> </w:t>
            </w:r>
            <w:r w:rsidRPr="003F5C7C">
              <w:rPr>
                <w:rFonts w:hint="default"/>
                <w:sz w:val="22"/>
                <w:szCs w:val="22"/>
              </w:rPr>
              <w:t>Langsung</w:t>
            </w:r>
          </w:p>
        </w:tc>
      </w:tr>
      <w:tr w:rsidR="00A31D79" w:rsidRPr="003F5C7C" w:rsidTr="007301D6">
        <w:tc>
          <w:tcPr>
            <w:tcW w:w="706" w:type="dxa"/>
          </w:tcPr>
          <w:p w:rsidR="00A31D79" w:rsidRPr="003F5C7C" w:rsidRDefault="00A31D79" w:rsidP="003F5C7C">
            <w:pPr>
              <w:pStyle w:val="BodyText"/>
              <w:spacing w:before="120" w:after="120"/>
              <w:ind w:right="21"/>
              <w:jc w:val="center"/>
              <w:rPr>
                <w:rFonts w:hint="default"/>
                <w:sz w:val="22"/>
                <w:szCs w:val="22"/>
              </w:rPr>
            </w:pPr>
            <w:r w:rsidRPr="003F5C7C">
              <w:rPr>
                <w:rFonts w:hint="default"/>
                <w:sz w:val="22"/>
                <w:szCs w:val="22"/>
              </w:rPr>
              <w:t>10.</w:t>
            </w:r>
          </w:p>
        </w:tc>
        <w:tc>
          <w:tcPr>
            <w:tcW w:w="7229" w:type="dxa"/>
          </w:tcPr>
          <w:p w:rsidR="00A31D79" w:rsidRPr="003F5C7C" w:rsidRDefault="00A31D79" w:rsidP="003F5C7C">
            <w:pPr>
              <w:pStyle w:val="BodyText"/>
              <w:spacing w:before="120" w:after="120"/>
              <w:ind w:right="21"/>
              <w:jc w:val="both"/>
              <w:rPr>
                <w:rFonts w:hint="default"/>
                <w:sz w:val="22"/>
                <w:szCs w:val="22"/>
              </w:rPr>
            </w:pPr>
            <w:r w:rsidRPr="003F5C7C">
              <w:rPr>
                <w:rFonts w:hint="default"/>
                <w:sz w:val="22"/>
                <w:szCs w:val="22"/>
              </w:rPr>
              <w:t>Peraturan Presiden Nomor 4/2016 tentang Percepatan Infrastruktur Ketenagalistrikan, Pasal 14 mengamanatkan bahwa pelaksanaan percepatan infrastruktur ketenagalistrikan mengutamakan pemanfaatan energi baru dan</w:t>
            </w:r>
            <w:r w:rsidRPr="003F5C7C">
              <w:rPr>
                <w:rFonts w:hint="default"/>
                <w:spacing w:val="-3"/>
                <w:sz w:val="22"/>
                <w:szCs w:val="22"/>
              </w:rPr>
              <w:t xml:space="preserve"> </w:t>
            </w:r>
            <w:r w:rsidRPr="003F5C7C">
              <w:rPr>
                <w:rFonts w:hint="default"/>
                <w:sz w:val="22"/>
                <w:szCs w:val="22"/>
              </w:rPr>
              <w:t>terbarukan</w:t>
            </w:r>
          </w:p>
        </w:tc>
      </w:tr>
      <w:tr w:rsidR="00A31D79" w:rsidRPr="003F5C7C" w:rsidTr="007301D6">
        <w:tc>
          <w:tcPr>
            <w:tcW w:w="706" w:type="dxa"/>
          </w:tcPr>
          <w:p w:rsidR="00A31D79" w:rsidRPr="003F5C7C" w:rsidRDefault="00A31D79" w:rsidP="003F5C7C">
            <w:pPr>
              <w:pStyle w:val="BodyText"/>
              <w:spacing w:before="120" w:after="120"/>
              <w:ind w:right="21"/>
              <w:jc w:val="center"/>
              <w:rPr>
                <w:rFonts w:hint="default"/>
                <w:sz w:val="22"/>
                <w:szCs w:val="22"/>
              </w:rPr>
            </w:pPr>
            <w:r w:rsidRPr="003F5C7C">
              <w:rPr>
                <w:rFonts w:hint="default"/>
                <w:sz w:val="22"/>
                <w:szCs w:val="22"/>
              </w:rPr>
              <w:t>11.</w:t>
            </w:r>
          </w:p>
        </w:tc>
        <w:tc>
          <w:tcPr>
            <w:tcW w:w="7229" w:type="dxa"/>
          </w:tcPr>
          <w:p w:rsidR="00A31D79" w:rsidRPr="003F5C7C" w:rsidRDefault="00A31D79" w:rsidP="003F5C7C">
            <w:pPr>
              <w:pStyle w:val="BodyText"/>
              <w:spacing w:before="120" w:after="120"/>
              <w:ind w:right="21"/>
              <w:jc w:val="both"/>
              <w:rPr>
                <w:rFonts w:hint="default"/>
                <w:sz w:val="22"/>
                <w:szCs w:val="22"/>
              </w:rPr>
            </w:pPr>
            <w:r w:rsidRPr="003F5C7C">
              <w:rPr>
                <w:rFonts w:hint="default"/>
                <w:sz w:val="22"/>
                <w:szCs w:val="22"/>
              </w:rPr>
              <w:t>Peraturan Presiden Nomor 47/2017 tentang Penyediaan Lampu Tenaga Surya Hemat Energi Bagi Masyarakat Yang Belum Mendapatkan Akses</w:t>
            </w:r>
            <w:r w:rsidRPr="003F5C7C">
              <w:rPr>
                <w:rFonts w:hint="default"/>
                <w:spacing w:val="-2"/>
                <w:sz w:val="22"/>
                <w:szCs w:val="22"/>
              </w:rPr>
              <w:t xml:space="preserve"> </w:t>
            </w:r>
            <w:r w:rsidRPr="003F5C7C">
              <w:rPr>
                <w:rFonts w:hint="default"/>
                <w:sz w:val="22"/>
                <w:szCs w:val="22"/>
              </w:rPr>
              <w:t>Listrik</w:t>
            </w:r>
          </w:p>
        </w:tc>
      </w:tr>
      <w:tr w:rsidR="00A31D79" w:rsidRPr="003F5C7C" w:rsidTr="007301D6">
        <w:tc>
          <w:tcPr>
            <w:tcW w:w="706" w:type="dxa"/>
          </w:tcPr>
          <w:p w:rsidR="00A31D79" w:rsidRPr="003F5C7C" w:rsidRDefault="00A31D79" w:rsidP="003F5C7C">
            <w:pPr>
              <w:pStyle w:val="BodyText"/>
              <w:spacing w:before="120" w:after="120"/>
              <w:ind w:right="21"/>
              <w:jc w:val="center"/>
              <w:rPr>
                <w:rFonts w:hint="default"/>
                <w:sz w:val="22"/>
                <w:szCs w:val="22"/>
              </w:rPr>
            </w:pPr>
            <w:r w:rsidRPr="003F5C7C">
              <w:rPr>
                <w:rFonts w:hint="default"/>
                <w:sz w:val="22"/>
                <w:szCs w:val="22"/>
              </w:rPr>
              <w:t>12.</w:t>
            </w:r>
          </w:p>
        </w:tc>
        <w:tc>
          <w:tcPr>
            <w:tcW w:w="7229" w:type="dxa"/>
          </w:tcPr>
          <w:p w:rsidR="00A31D79" w:rsidRPr="003F5C7C" w:rsidRDefault="00A31D79" w:rsidP="003F5C7C">
            <w:pPr>
              <w:pStyle w:val="BodyText"/>
              <w:spacing w:before="120" w:after="120"/>
              <w:ind w:right="21"/>
              <w:jc w:val="both"/>
              <w:rPr>
                <w:rFonts w:hint="default"/>
                <w:sz w:val="22"/>
                <w:szCs w:val="22"/>
              </w:rPr>
            </w:pPr>
            <w:r w:rsidRPr="003F5C7C">
              <w:rPr>
                <w:rFonts w:hint="default"/>
                <w:sz w:val="22"/>
                <w:szCs w:val="22"/>
              </w:rPr>
              <w:t>Peraturan Presiden Nomor 22/2017 tentang Rencana Umum Energi Nasional (RUEN)</w:t>
            </w:r>
          </w:p>
        </w:tc>
      </w:tr>
      <w:tr w:rsidR="00A31D79" w:rsidRPr="003F5C7C" w:rsidTr="007301D6">
        <w:tc>
          <w:tcPr>
            <w:tcW w:w="706" w:type="dxa"/>
          </w:tcPr>
          <w:p w:rsidR="00A31D79" w:rsidRPr="003F5C7C" w:rsidRDefault="00A31D79" w:rsidP="003F5C7C">
            <w:pPr>
              <w:pStyle w:val="BodyText"/>
              <w:spacing w:before="120" w:after="120"/>
              <w:ind w:right="21"/>
              <w:jc w:val="center"/>
              <w:rPr>
                <w:rFonts w:hint="default"/>
                <w:sz w:val="22"/>
                <w:szCs w:val="22"/>
              </w:rPr>
            </w:pPr>
            <w:r w:rsidRPr="003F5C7C">
              <w:rPr>
                <w:rFonts w:hint="default"/>
                <w:sz w:val="22"/>
                <w:szCs w:val="22"/>
              </w:rPr>
              <w:t>13.</w:t>
            </w:r>
          </w:p>
        </w:tc>
        <w:tc>
          <w:tcPr>
            <w:tcW w:w="7229" w:type="dxa"/>
          </w:tcPr>
          <w:p w:rsidR="00A31D79" w:rsidRPr="003F5C7C" w:rsidRDefault="00A31D79" w:rsidP="003F5C7C">
            <w:pPr>
              <w:pStyle w:val="BodyText"/>
              <w:spacing w:before="120" w:after="120"/>
              <w:ind w:right="21"/>
              <w:jc w:val="both"/>
              <w:rPr>
                <w:rFonts w:hint="default"/>
                <w:sz w:val="22"/>
                <w:szCs w:val="22"/>
              </w:rPr>
            </w:pPr>
            <w:r w:rsidRPr="003F5C7C">
              <w:rPr>
                <w:rFonts w:hint="default"/>
                <w:sz w:val="22"/>
                <w:szCs w:val="22"/>
              </w:rPr>
              <w:t>Peraturan Menteri ESDM Nomor 50 Tahun 2017 tentang Pemanfaatan Sumber Energi Terbarukan untuk Penyediaan Tenaga Listrik.</w:t>
            </w:r>
          </w:p>
        </w:tc>
      </w:tr>
      <w:tr w:rsidR="00A31D79" w:rsidRPr="003F5C7C" w:rsidTr="007301D6">
        <w:tc>
          <w:tcPr>
            <w:tcW w:w="706" w:type="dxa"/>
          </w:tcPr>
          <w:p w:rsidR="00A31D79" w:rsidRPr="003F5C7C" w:rsidRDefault="00A31D79" w:rsidP="003F5C7C">
            <w:pPr>
              <w:pStyle w:val="BodyText"/>
              <w:spacing w:before="120" w:after="120"/>
              <w:ind w:right="21"/>
              <w:jc w:val="center"/>
              <w:rPr>
                <w:rFonts w:hint="default"/>
                <w:sz w:val="22"/>
                <w:szCs w:val="22"/>
              </w:rPr>
            </w:pPr>
            <w:r w:rsidRPr="003F5C7C">
              <w:rPr>
                <w:rFonts w:hint="default"/>
                <w:sz w:val="22"/>
                <w:szCs w:val="22"/>
              </w:rPr>
              <w:lastRenderedPageBreak/>
              <w:t>14.</w:t>
            </w:r>
          </w:p>
        </w:tc>
        <w:tc>
          <w:tcPr>
            <w:tcW w:w="7229" w:type="dxa"/>
          </w:tcPr>
          <w:p w:rsidR="00A31D79" w:rsidRPr="003F5C7C" w:rsidRDefault="00A31D79" w:rsidP="003F5C7C">
            <w:pPr>
              <w:tabs>
                <w:tab w:val="left" w:pos="941"/>
              </w:tabs>
              <w:spacing w:before="120" w:after="120"/>
              <w:ind w:right="218"/>
              <w:jc w:val="both"/>
              <w:rPr>
                <w:rFonts w:hint="default"/>
              </w:rPr>
            </w:pPr>
            <w:r w:rsidRPr="003F5C7C">
              <w:rPr>
                <w:rFonts w:hint="default"/>
              </w:rPr>
              <w:t>Permen ESDM Nomor 05/2018 tentang Perubahan Atas Peraturan Menteri Energi dan Sumber Daya Mineral Nomor 33 Tahun 2017 tentang Tata Cara Penyediaan Lampu Tenaga Surya Hemat Energi Bagi Masyarakat Yang Belum Mendapatkan Akses Listrik;</w:t>
            </w:r>
          </w:p>
        </w:tc>
      </w:tr>
      <w:tr w:rsidR="00A31D79" w:rsidRPr="003F5C7C" w:rsidTr="007301D6">
        <w:tc>
          <w:tcPr>
            <w:tcW w:w="706" w:type="dxa"/>
          </w:tcPr>
          <w:p w:rsidR="00A31D79" w:rsidRPr="003F5C7C" w:rsidRDefault="00A31D79" w:rsidP="003F5C7C">
            <w:pPr>
              <w:pStyle w:val="BodyText"/>
              <w:spacing w:before="120" w:after="120"/>
              <w:ind w:right="21"/>
              <w:jc w:val="center"/>
              <w:rPr>
                <w:rFonts w:hint="default"/>
                <w:sz w:val="22"/>
                <w:szCs w:val="22"/>
              </w:rPr>
            </w:pPr>
            <w:r w:rsidRPr="003F5C7C">
              <w:rPr>
                <w:rFonts w:hint="default"/>
                <w:sz w:val="22"/>
                <w:szCs w:val="22"/>
              </w:rPr>
              <w:t>15.</w:t>
            </w:r>
          </w:p>
        </w:tc>
        <w:tc>
          <w:tcPr>
            <w:tcW w:w="7229" w:type="dxa"/>
          </w:tcPr>
          <w:p w:rsidR="00A31D79" w:rsidRPr="003F5C7C" w:rsidRDefault="00A31D79" w:rsidP="003F5C7C">
            <w:pPr>
              <w:tabs>
                <w:tab w:val="left" w:pos="941"/>
              </w:tabs>
              <w:spacing w:before="120" w:after="120"/>
              <w:ind w:right="221"/>
              <w:jc w:val="both"/>
              <w:rPr>
                <w:rFonts w:hint="default"/>
              </w:rPr>
            </w:pPr>
            <w:r w:rsidRPr="003F5C7C">
              <w:rPr>
                <w:rFonts w:hint="default"/>
              </w:rPr>
              <w:t xml:space="preserve">Peraturan Menteri ESDM Nomor 12 Tahun 2018 tentang Perubahan Atas Peraturan Menteri ESDM Nomor 39 Tahun 2017 Tentang Pelaksanaan Kegiatan Fisik Pemanfaatan </w:t>
            </w:r>
            <w:r w:rsidR="003F5C7C">
              <w:rPr>
                <w:rFonts w:hint="default"/>
                <w:lang w:val="id-ID"/>
              </w:rPr>
              <w:t>Energi Baru dan Terbarukan dan Konservasi Energi (</w:t>
            </w:r>
            <w:r w:rsidRPr="003F5C7C">
              <w:rPr>
                <w:rFonts w:hint="default"/>
              </w:rPr>
              <w:t>EBTKE</w:t>
            </w:r>
            <w:r w:rsidR="003F5C7C">
              <w:rPr>
                <w:rFonts w:hint="default"/>
                <w:lang w:val="id-ID"/>
              </w:rPr>
              <w:t>)</w:t>
            </w:r>
            <w:r w:rsidRPr="003F5C7C">
              <w:rPr>
                <w:rFonts w:hint="default"/>
              </w:rPr>
              <w:t>.</w:t>
            </w:r>
          </w:p>
        </w:tc>
      </w:tr>
    </w:tbl>
    <w:p w:rsidR="00A31D79" w:rsidRPr="003F5C7C" w:rsidRDefault="00A31D79" w:rsidP="003F5C7C">
      <w:pPr>
        <w:pStyle w:val="BodyText"/>
        <w:spacing w:before="2"/>
        <w:jc w:val="both"/>
        <w:rPr>
          <w:sz w:val="22"/>
          <w:szCs w:val="22"/>
        </w:rPr>
      </w:pPr>
    </w:p>
    <w:p w:rsidR="00A31D79" w:rsidRPr="003F5C7C" w:rsidRDefault="00A31D79" w:rsidP="003F5C7C">
      <w:pPr>
        <w:pStyle w:val="BodyText"/>
        <w:rPr>
          <w:bCs/>
          <w:i/>
          <w:sz w:val="22"/>
          <w:szCs w:val="22"/>
          <w:lang w:val="id-ID"/>
        </w:rPr>
      </w:pPr>
      <w:r w:rsidRPr="003F5C7C">
        <w:rPr>
          <w:bCs/>
          <w:i/>
          <w:sz w:val="22"/>
          <w:szCs w:val="22"/>
          <w:lang w:val="id-ID"/>
        </w:rPr>
        <w:t>Sumber: Direktorat Jenderal Ketenagalistrikan Kementerian ESDM, 2018</w:t>
      </w:r>
    </w:p>
    <w:p w:rsidR="003F5C7C" w:rsidRDefault="003F5C7C" w:rsidP="00A31D79">
      <w:pPr>
        <w:pStyle w:val="BodyText"/>
        <w:spacing w:line="480" w:lineRule="auto"/>
        <w:ind w:left="220"/>
        <w:jc w:val="both"/>
      </w:pPr>
    </w:p>
    <w:p w:rsidR="00A31D79" w:rsidRPr="00A31D79" w:rsidRDefault="007C1E15" w:rsidP="003F5C7C">
      <w:pPr>
        <w:pStyle w:val="BodyText"/>
        <w:spacing w:line="480" w:lineRule="auto"/>
        <w:jc w:val="both"/>
      </w:pPr>
      <w:r>
        <w:rPr>
          <w:lang w:val="id-ID"/>
        </w:rPr>
        <w:t>Capaian</w:t>
      </w:r>
      <w:r w:rsidR="00A31D79" w:rsidRPr="00A31D79">
        <w:t xml:space="preserve"> pengembangan EBT di Indonesia hingga kuartal I 2018</w:t>
      </w:r>
      <w:r w:rsidR="003F5C7C">
        <w:rPr>
          <w:lang w:val="id-ID"/>
        </w:rPr>
        <w:t>, seperti terlihat di (Gam</w:t>
      </w:r>
      <w:r>
        <w:rPr>
          <w:lang w:val="id-ID"/>
        </w:rPr>
        <w:t>b</w:t>
      </w:r>
      <w:r w:rsidR="003F5C7C">
        <w:rPr>
          <w:lang w:val="id-ID"/>
        </w:rPr>
        <w:t>ar 3)</w:t>
      </w:r>
      <w:r>
        <w:rPr>
          <w:lang w:val="id-ID"/>
        </w:rPr>
        <w:t xml:space="preserve"> sebagai berikut</w:t>
      </w:r>
      <w:r w:rsidR="00A31D79" w:rsidRPr="00A31D79">
        <w:t>:</w:t>
      </w:r>
    </w:p>
    <w:p w:rsidR="00A31D79" w:rsidRPr="00A31D79" w:rsidRDefault="00A31D79" w:rsidP="00A31D79">
      <w:pPr>
        <w:pStyle w:val="BodyText"/>
        <w:spacing w:before="2" w:line="480" w:lineRule="auto"/>
        <w:jc w:val="both"/>
        <w:rPr>
          <w:b/>
          <w:bCs/>
          <w:lang w:val="id-ID"/>
        </w:rPr>
      </w:pPr>
      <w:r w:rsidRPr="00A31D79">
        <w:rPr>
          <w:b/>
          <w:bCs/>
          <w:lang w:val="id-ID"/>
        </w:rPr>
        <w:t>Gambar 3. Capaian dan Target Ditjen EBTKE ESDM Kuartal I 2018</w:t>
      </w:r>
    </w:p>
    <w:p w:rsidR="00A31D79" w:rsidRPr="00A31D79" w:rsidRDefault="00A31D79" w:rsidP="00A31D79">
      <w:pPr>
        <w:pStyle w:val="BodyText"/>
        <w:spacing w:line="480" w:lineRule="auto"/>
        <w:ind w:left="220"/>
        <w:jc w:val="both"/>
      </w:pPr>
      <w:r w:rsidRPr="00A31D79">
        <w:rPr>
          <w:noProof/>
          <w:lang w:val="id-ID" w:eastAsia="id-ID" w:bidi="ar-SA"/>
        </w:rPr>
        <w:drawing>
          <wp:inline distT="0" distB="0" distL="0" distR="0" wp14:anchorId="6A9293FD" wp14:editId="14443731">
            <wp:extent cx="4809969" cy="4582633"/>
            <wp:effectExtent l="0" t="0" r="0" b="889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png"/>
                    <pic:cNvPicPr>
                      <a:picLocks noChangeAspect="1"/>
                    </pic:cNvPicPr>
                  </pic:nvPicPr>
                  <pic:blipFill>
                    <a:blip r:embed="rId10" cstate="print"/>
                    <a:stretch>
                      <a:fillRect/>
                    </a:stretch>
                  </pic:blipFill>
                  <pic:spPr>
                    <a:xfrm>
                      <a:off x="0" y="0"/>
                      <a:ext cx="4924227" cy="4691491"/>
                    </a:xfrm>
                    <a:prstGeom prst="rect">
                      <a:avLst/>
                    </a:prstGeom>
                  </pic:spPr>
                </pic:pic>
              </a:graphicData>
            </a:graphic>
          </wp:inline>
        </w:drawing>
      </w:r>
    </w:p>
    <w:p w:rsidR="00A31D79" w:rsidRPr="003F5C7C" w:rsidRDefault="00A31D79" w:rsidP="003F5C7C">
      <w:pPr>
        <w:pStyle w:val="BodyText"/>
        <w:spacing w:before="90"/>
        <w:ind w:left="220"/>
        <w:jc w:val="center"/>
        <w:rPr>
          <w:i/>
          <w:sz w:val="22"/>
          <w:szCs w:val="22"/>
          <w:lang w:val="id-ID"/>
        </w:rPr>
      </w:pPr>
      <w:r w:rsidRPr="003F5C7C">
        <w:rPr>
          <w:i/>
          <w:sz w:val="22"/>
          <w:szCs w:val="22"/>
        </w:rPr>
        <w:t xml:space="preserve">Sumber: </w:t>
      </w:r>
      <w:r w:rsidRPr="003F5C7C">
        <w:rPr>
          <w:i/>
          <w:sz w:val="22"/>
          <w:szCs w:val="22"/>
          <w:lang w:val="id-ID"/>
        </w:rPr>
        <w:t>Direktorat Jenderal Energi Baru Terbarukan dan Konservasi Kementerian ESDM, 7 Juli 2018.</w:t>
      </w:r>
    </w:p>
    <w:p w:rsidR="00A31D79" w:rsidRPr="003F5C7C" w:rsidRDefault="004877A5" w:rsidP="00A31D79">
      <w:pPr>
        <w:pStyle w:val="Heading3"/>
        <w:tabs>
          <w:tab w:val="left" w:pos="581"/>
        </w:tabs>
        <w:spacing w:before="1" w:line="480" w:lineRule="auto"/>
        <w:jc w:val="both"/>
        <w:rPr>
          <w:sz w:val="28"/>
          <w:szCs w:val="28"/>
        </w:rPr>
      </w:pPr>
      <w:r>
        <w:rPr>
          <w:sz w:val="28"/>
          <w:szCs w:val="28"/>
          <w:lang w:val="id-ID"/>
        </w:rPr>
        <w:lastRenderedPageBreak/>
        <w:t>2.8</w:t>
      </w:r>
      <w:r w:rsidR="00A31D79" w:rsidRPr="003F5C7C">
        <w:rPr>
          <w:sz w:val="28"/>
          <w:szCs w:val="28"/>
          <w:lang w:val="id-ID"/>
        </w:rPr>
        <w:t xml:space="preserve"> Ekonomi Karbon Rendah </w:t>
      </w:r>
    </w:p>
    <w:p w:rsidR="00A31D79" w:rsidRPr="00A31D79" w:rsidRDefault="00A31D79" w:rsidP="003F5C7C">
      <w:pPr>
        <w:pStyle w:val="BodyText"/>
        <w:spacing w:before="225" w:line="480" w:lineRule="auto"/>
        <w:ind w:left="220" w:right="219" w:firstLine="500"/>
        <w:jc w:val="both"/>
      </w:pPr>
      <w:r w:rsidRPr="00A31D79">
        <w:t>KEP.125/M.PPN/HK/12/2017 merupakan keputusan Menteri Bappenas untuk Pembentukan Panitia Antar Kementerian Penyusunan Rancangan Peraturan Presiden tentang Perencanaan Rendah Karbon.</w:t>
      </w:r>
      <w:r w:rsidRPr="00A31D79">
        <w:rPr>
          <w:lang w:val="id-ID"/>
        </w:rPr>
        <w:t xml:space="preserve"> </w:t>
      </w:r>
      <w:r w:rsidRPr="00A31D79">
        <w:t>Aturan ini pada dasarnya merupakan sebuah mitigasi perubahan iklim. Aturan ini berorientasi pada keseimbangan pertumbuhan ekonomi, pengentasan kemiskinan dan stabilitas sosial, serta upaya penurunan emisi gas rumah kaca. Aturan ini untuk melengkapi Perpres 61/2011 tentang Rencana Aksi Nasional Penurunan Emisi Gas Rumah Kaca (RAN-GRK) yang hanya mengatur soal penurunan emisi gas rumah</w:t>
      </w:r>
      <w:r w:rsidRPr="00A31D79">
        <w:rPr>
          <w:spacing w:val="1"/>
        </w:rPr>
        <w:t xml:space="preserve"> </w:t>
      </w:r>
      <w:r w:rsidRPr="00A31D79">
        <w:t>kaca.</w:t>
      </w:r>
    </w:p>
    <w:p w:rsidR="003F5C7C" w:rsidRDefault="003F5C7C" w:rsidP="00A31D79">
      <w:pPr>
        <w:pStyle w:val="Heading3"/>
        <w:spacing w:line="480" w:lineRule="auto"/>
        <w:ind w:left="0" w:right="3"/>
        <w:jc w:val="center"/>
      </w:pPr>
    </w:p>
    <w:sectPr w:rsidR="003F5C7C" w:rsidSect="00881374">
      <w:headerReference w:type="default" r:id="rId11"/>
      <w:footerReference w:type="default" r:id="rId12"/>
      <w:pgSz w:w="11906" w:h="16838"/>
      <w:pgMar w:top="1701" w:right="1701" w:bottom="1701" w:left="2268" w:header="708" w:footer="708"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D79" w:rsidRDefault="00A31D79" w:rsidP="00A31D79">
      <w:r>
        <w:separator/>
      </w:r>
    </w:p>
  </w:endnote>
  <w:endnote w:type="continuationSeparator" w:id="0">
    <w:p w:rsidR="00A31D79" w:rsidRDefault="00A31D79" w:rsidP="00A31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888639"/>
      <w:docPartObj>
        <w:docPartGallery w:val="Page Numbers (Bottom of Page)"/>
        <w:docPartUnique/>
      </w:docPartObj>
    </w:sdtPr>
    <w:sdtEndPr>
      <w:rPr>
        <w:noProof/>
      </w:rPr>
    </w:sdtEndPr>
    <w:sdtContent>
      <w:p w:rsidR="00251E20" w:rsidRDefault="00251E20">
        <w:pPr>
          <w:pStyle w:val="Footer"/>
          <w:jc w:val="center"/>
        </w:pPr>
        <w:r>
          <w:fldChar w:fldCharType="begin"/>
        </w:r>
        <w:r>
          <w:instrText xml:space="preserve"> PAGE   \* MERGEFORMAT </w:instrText>
        </w:r>
        <w:r>
          <w:fldChar w:fldCharType="separate"/>
        </w:r>
        <w:r w:rsidR="000A6B73">
          <w:rPr>
            <w:noProof/>
          </w:rPr>
          <w:t>21</w:t>
        </w:r>
        <w:r>
          <w:rPr>
            <w:noProof/>
          </w:rPr>
          <w:fldChar w:fldCharType="end"/>
        </w:r>
      </w:p>
    </w:sdtContent>
  </w:sdt>
  <w:p w:rsidR="00251E20" w:rsidRDefault="00251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D79" w:rsidRDefault="00A31D79" w:rsidP="00A31D79">
      <w:r>
        <w:separator/>
      </w:r>
    </w:p>
  </w:footnote>
  <w:footnote w:type="continuationSeparator" w:id="0">
    <w:p w:rsidR="00A31D79" w:rsidRDefault="00A31D79" w:rsidP="00A31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D79" w:rsidRDefault="000A6B73">
    <w:pPr>
      <w:pStyle w:val="Header"/>
      <w:pBdr>
        <w:bottom w:val="single" w:sz="4" w:space="8" w:color="5B9BD5" w:themeColor="accent1"/>
      </w:pBdr>
      <w:spacing w:after="360"/>
      <w:contextualSpacing/>
      <w:jc w:val="right"/>
      <w:rPr>
        <w:color w:val="404040" w:themeColor="text1" w:themeTint="BF"/>
      </w:rPr>
    </w:pPr>
    <w:sdt>
      <w:sdtPr>
        <w:rPr>
          <w:i/>
          <w:color w:val="404040" w:themeColor="text1" w:themeTint="BF"/>
          <w:sz w:val="24"/>
          <w:szCs w:val="24"/>
        </w:rPr>
        <w:alias w:val="Title"/>
        <w:tag w:val=""/>
        <w:id w:val="-582758601"/>
        <w:placeholder>
          <w:docPart w:val="81E8218156C94FC7BF60AC97AAD2834C"/>
        </w:placeholder>
        <w:dataBinding w:prefixMappings="xmlns:ns0='http://purl.org/dc/elements/1.1/' xmlns:ns1='http://schemas.openxmlformats.org/package/2006/metadata/core-properties' " w:xpath="/ns1:coreProperties[1]/ns0:title[1]" w:storeItemID="{6C3C8BC8-F283-45AE-878A-BAB7291924A1}"/>
        <w:text/>
      </w:sdtPr>
      <w:sdtEndPr/>
      <w:sdtContent>
        <w:r w:rsidR="00A31D79">
          <w:rPr>
            <w:i/>
            <w:color w:val="404040" w:themeColor="text1" w:themeTint="BF"/>
            <w:sz w:val="24"/>
            <w:szCs w:val="24"/>
            <w:lang w:val="id-ID"/>
          </w:rPr>
          <w:t>Bab 2 Ti</w:t>
        </w:r>
        <w:r w:rsidR="00A31D79" w:rsidRPr="00A31D79">
          <w:rPr>
            <w:i/>
            <w:color w:val="404040" w:themeColor="text1" w:themeTint="BF"/>
            <w:sz w:val="24"/>
            <w:szCs w:val="24"/>
            <w:lang w:val="id-ID"/>
          </w:rPr>
          <w:t>n</w:t>
        </w:r>
        <w:r w:rsidR="00A31D79">
          <w:rPr>
            <w:i/>
            <w:color w:val="404040" w:themeColor="text1" w:themeTint="BF"/>
            <w:sz w:val="24"/>
            <w:szCs w:val="24"/>
            <w:lang w:val="id-ID"/>
          </w:rPr>
          <w:t>jauan Pustaka</w:t>
        </w:r>
      </w:sdtContent>
    </w:sdt>
  </w:p>
  <w:p w:rsidR="00A31D79" w:rsidRDefault="00A31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ABE41F"/>
    <w:multiLevelType w:val="singleLevel"/>
    <w:tmpl w:val="85ABE41F"/>
    <w:lvl w:ilvl="0">
      <w:start w:val="1"/>
      <w:numFmt w:val="decimal"/>
      <w:suff w:val="space"/>
      <w:lvlText w:val="%1."/>
      <w:lvlJc w:val="left"/>
    </w:lvl>
  </w:abstractNum>
  <w:abstractNum w:abstractNumId="1" w15:restartNumberingAfterBreak="0">
    <w:nsid w:val="87129353"/>
    <w:multiLevelType w:val="singleLevel"/>
    <w:tmpl w:val="87129353"/>
    <w:lvl w:ilvl="0">
      <w:start w:val="1"/>
      <w:numFmt w:val="decimal"/>
      <w:suff w:val="space"/>
      <w:lvlText w:val="%1."/>
      <w:lvlJc w:val="left"/>
    </w:lvl>
  </w:abstractNum>
  <w:abstractNum w:abstractNumId="2" w15:restartNumberingAfterBreak="0">
    <w:nsid w:val="B5E306ED"/>
    <w:multiLevelType w:val="multilevel"/>
    <w:tmpl w:val="B5E306ED"/>
    <w:lvl w:ilvl="0">
      <w:start w:val="3"/>
      <w:numFmt w:val="decimal"/>
      <w:lvlText w:val="%1"/>
      <w:lvlJc w:val="left"/>
      <w:pPr>
        <w:ind w:left="1713" w:hanging="360"/>
      </w:pPr>
      <w:rPr>
        <w:rFonts w:hint="default"/>
        <w:lang w:val="ca-ES" w:eastAsia="ca-ES" w:bidi="ca-ES"/>
      </w:rPr>
    </w:lvl>
    <w:lvl w:ilvl="1">
      <w:start w:val="1"/>
      <w:numFmt w:val="decimal"/>
      <w:lvlText w:val="%1.%2"/>
      <w:lvlJc w:val="left"/>
      <w:pPr>
        <w:ind w:left="1713" w:hanging="360"/>
      </w:pPr>
      <w:rPr>
        <w:rFonts w:ascii="Times New Roman" w:eastAsia="Times New Roman" w:hAnsi="Times New Roman" w:cs="Times New Roman" w:hint="default"/>
        <w:spacing w:val="-2"/>
        <w:w w:val="99"/>
        <w:sz w:val="24"/>
        <w:szCs w:val="24"/>
        <w:lang w:val="ca-ES" w:eastAsia="ca-ES" w:bidi="ca-ES"/>
      </w:rPr>
    </w:lvl>
    <w:lvl w:ilvl="2">
      <w:start w:val="1"/>
      <w:numFmt w:val="decimal"/>
      <w:lvlText w:val="%1.%2.%3"/>
      <w:lvlJc w:val="left"/>
      <w:pPr>
        <w:ind w:left="3376" w:hanging="540"/>
      </w:pPr>
      <w:rPr>
        <w:rFonts w:ascii="Times New Roman" w:eastAsia="Times New Roman" w:hAnsi="Times New Roman" w:cs="Times New Roman" w:hint="default"/>
        <w:spacing w:val="-2"/>
        <w:w w:val="99"/>
        <w:sz w:val="24"/>
        <w:szCs w:val="24"/>
        <w:lang w:val="ca-ES" w:eastAsia="ca-ES" w:bidi="ca-ES"/>
      </w:rPr>
    </w:lvl>
    <w:lvl w:ilvl="3">
      <w:numFmt w:val="bullet"/>
      <w:lvlText w:val="•"/>
      <w:lvlJc w:val="left"/>
      <w:pPr>
        <w:ind w:left="3581" w:hanging="540"/>
      </w:pPr>
      <w:rPr>
        <w:rFonts w:hint="default"/>
        <w:lang w:val="ca-ES" w:eastAsia="ca-ES" w:bidi="ca-ES"/>
      </w:rPr>
    </w:lvl>
    <w:lvl w:ilvl="4">
      <w:numFmt w:val="bullet"/>
      <w:lvlText w:val="•"/>
      <w:lvlJc w:val="left"/>
      <w:pPr>
        <w:ind w:left="4422" w:hanging="540"/>
      </w:pPr>
      <w:rPr>
        <w:rFonts w:hint="default"/>
        <w:lang w:val="ca-ES" w:eastAsia="ca-ES" w:bidi="ca-ES"/>
      </w:rPr>
    </w:lvl>
    <w:lvl w:ilvl="5">
      <w:numFmt w:val="bullet"/>
      <w:lvlText w:val="•"/>
      <w:lvlJc w:val="left"/>
      <w:pPr>
        <w:ind w:left="5262" w:hanging="540"/>
      </w:pPr>
      <w:rPr>
        <w:rFonts w:hint="default"/>
        <w:lang w:val="ca-ES" w:eastAsia="ca-ES" w:bidi="ca-ES"/>
      </w:rPr>
    </w:lvl>
    <w:lvl w:ilvl="6">
      <w:numFmt w:val="bullet"/>
      <w:lvlText w:val="•"/>
      <w:lvlJc w:val="left"/>
      <w:pPr>
        <w:ind w:left="6103" w:hanging="540"/>
      </w:pPr>
      <w:rPr>
        <w:rFonts w:hint="default"/>
        <w:lang w:val="ca-ES" w:eastAsia="ca-ES" w:bidi="ca-ES"/>
      </w:rPr>
    </w:lvl>
    <w:lvl w:ilvl="7">
      <w:numFmt w:val="bullet"/>
      <w:lvlText w:val="•"/>
      <w:lvlJc w:val="left"/>
      <w:pPr>
        <w:ind w:left="6944" w:hanging="540"/>
      </w:pPr>
      <w:rPr>
        <w:rFonts w:hint="default"/>
        <w:lang w:val="ca-ES" w:eastAsia="ca-ES" w:bidi="ca-ES"/>
      </w:rPr>
    </w:lvl>
    <w:lvl w:ilvl="8">
      <w:numFmt w:val="bullet"/>
      <w:lvlText w:val="•"/>
      <w:lvlJc w:val="left"/>
      <w:pPr>
        <w:ind w:left="7784" w:hanging="540"/>
      </w:pPr>
      <w:rPr>
        <w:rFonts w:hint="default"/>
        <w:lang w:val="ca-ES" w:eastAsia="ca-ES" w:bidi="ca-ES"/>
      </w:rPr>
    </w:lvl>
  </w:abstractNum>
  <w:abstractNum w:abstractNumId="3" w15:restartNumberingAfterBreak="0">
    <w:nsid w:val="C39265FD"/>
    <w:multiLevelType w:val="singleLevel"/>
    <w:tmpl w:val="C39265FD"/>
    <w:lvl w:ilvl="0">
      <w:start w:val="1"/>
      <w:numFmt w:val="decimal"/>
      <w:suff w:val="space"/>
      <w:lvlText w:val="%1."/>
      <w:lvlJc w:val="left"/>
    </w:lvl>
  </w:abstractNum>
  <w:abstractNum w:abstractNumId="4" w15:restartNumberingAfterBreak="0">
    <w:nsid w:val="C8879AEF"/>
    <w:multiLevelType w:val="multilevel"/>
    <w:tmpl w:val="C8879AEF"/>
    <w:lvl w:ilvl="0">
      <w:start w:val="2"/>
      <w:numFmt w:val="decimal"/>
      <w:lvlText w:val="%1"/>
      <w:lvlJc w:val="left"/>
      <w:pPr>
        <w:ind w:left="640" w:hanging="420"/>
      </w:pPr>
      <w:rPr>
        <w:rFonts w:hint="default"/>
        <w:lang w:val="ca-ES" w:eastAsia="ca-ES" w:bidi="ca-ES"/>
      </w:rPr>
    </w:lvl>
    <w:lvl w:ilvl="1">
      <w:start w:val="3"/>
      <w:numFmt w:val="decimal"/>
      <w:lvlText w:val="%1.%2"/>
      <w:lvlJc w:val="left"/>
      <w:pPr>
        <w:ind w:left="640" w:hanging="420"/>
      </w:pPr>
      <w:rPr>
        <w:rFonts w:ascii="Times New Roman" w:eastAsia="Times New Roman" w:hAnsi="Times New Roman" w:cs="Times New Roman" w:hint="default"/>
        <w:b/>
        <w:bCs/>
        <w:spacing w:val="-2"/>
        <w:w w:val="99"/>
        <w:sz w:val="24"/>
        <w:szCs w:val="24"/>
        <w:lang w:val="ca-ES" w:eastAsia="ca-ES" w:bidi="ca-ES"/>
      </w:rPr>
    </w:lvl>
    <w:lvl w:ilvl="2">
      <w:numFmt w:val="bullet"/>
      <w:lvlText w:val=""/>
      <w:lvlJc w:val="left"/>
      <w:pPr>
        <w:ind w:left="940" w:hanging="360"/>
      </w:pPr>
      <w:rPr>
        <w:rFonts w:ascii="Symbol" w:eastAsia="Symbol" w:hAnsi="Symbol" w:cs="Symbol" w:hint="default"/>
        <w:w w:val="100"/>
        <w:sz w:val="24"/>
        <w:szCs w:val="24"/>
        <w:lang w:val="ca-ES" w:eastAsia="ca-ES" w:bidi="ca-ES"/>
      </w:rPr>
    </w:lvl>
    <w:lvl w:ilvl="3">
      <w:numFmt w:val="bullet"/>
      <w:lvlText w:val="•"/>
      <w:lvlJc w:val="left"/>
      <w:pPr>
        <w:ind w:left="2834" w:hanging="360"/>
      </w:pPr>
      <w:rPr>
        <w:rFonts w:hint="default"/>
        <w:lang w:val="ca-ES" w:eastAsia="ca-ES" w:bidi="ca-ES"/>
      </w:rPr>
    </w:lvl>
    <w:lvl w:ilvl="4">
      <w:numFmt w:val="bullet"/>
      <w:lvlText w:val="•"/>
      <w:lvlJc w:val="left"/>
      <w:pPr>
        <w:ind w:left="3782" w:hanging="360"/>
      </w:pPr>
      <w:rPr>
        <w:rFonts w:hint="default"/>
        <w:lang w:val="ca-ES" w:eastAsia="ca-ES" w:bidi="ca-ES"/>
      </w:rPr>
    </w:lvl>
    <w:lvl w:ilvl="5">
      <w:numFmt w:val="bullet"/>
      <w:lvlText w:val="•"/>
      <w:lvlJc w:val="left"/>
      <w:pPr>
        <w:ind w:left="4729" w:hanging="360"/>
      </w:pPr>
      <w:rPr>
        <w:rFonts w:hint="default"/>
        <w:lang w:val="ca-ES" w:eastAsia="ca-ES" w:bidi="ca-ES"/>
      </w:rPr>
    </w:lvl>
    <w:lvl w:ilvl="6">
      <w:numFmt w:val="bullet"/>
      <w:lvlText w:val="•"/>
      <w:lvlJc w:val="left"/>
      <w:pPr>
        <w:ind w:left="5676" w:hanging="360"/>
      </w:pPr>
      <w:rPr>
        <w:rFonts w:hint="default"/>
        <w:lang w:val="ca-ES" w:eastAsia="ca-ES" w:bidi="ca-ES"/>
      </w:rPr>
    </w:lvl>
    <w:lvl w:ilvl="7">
      <w:numFmt w:val="bullet"/>
      <w:lvlText w:val="•"/>
      <w:lvlJc w:val="left"/>
      <w:pPr>
        <w:ind w:left="6624" w:hanging="360"/>
      </w:pPr>
      <w:rPr>
        <w:rFonts w:hint="default"/>
        <w:lang w:val="ca-ES" w:eastAsia="ca-ES" w:bidi="ca-ES"/>
      </w:rPr>
    </w:lvl>
    <w:lvl w:ilvl="8">
      <w:numFmt w:val="bullet"/>
      <w:lvlText w:val="•"/>
      <w:lvlJc w:val="left"/>
      <w:pPr>
        <w:ind w:left="7571" w:hanging="360"/>
      </w:pPr>
      <w:rPr>
        <w:rFonts w:hint="default"/>
        <w:lang w:val="ca-ES" w:eastAsia="ca-ES" w:bidi="ca-ES"/>
      </w:rPr>
    </w:lvl>
  </w:abstractNum>
  <w:abstractNum w:abstractNumId="5" w15:restartNumberingAfterBreak="0">
    <w:nsid w:val="CF092B84"/>
    <w:multiLevelType w:val="multilevel"/>
    <w:tmpl w:val="CF092B84"/>
    <w:lvl w:ilvl="0">
      <w:start w:val="2"/>
      <w:numFmt w:val="decimal"/>
      <w:lvlText w:val="%1"/>
      <w:lvlJc w:val="left"/>
      <w:pPr>
        <w:ind w:left="1720" w:hanging="365"/>
      </w:pPr>
      <w:rPr>
        <w:rFonts w:hint="default"/>
        <w:lang w:val="ca-ES" w:eastAsia="ca-ES" w:bidi="ca-ES"/>
      </w:rPr>
    </w:lvl>
    <w:lvl w:ilvl="1">
      <w:start w:val="1"/>
      <w:numFmt w:val="decimal"/>
      <w:lvlText w:val="%1.%2"/>
      <w:lvlJc w:val="left"/>
      <w:pPr>
        <w:ind w:left="1720" w:hanging="365"/>
      </w:pPr>
      <w:rPr>
        <w:rFonts w:ascii="Times New Roman" w:eastAsia="Times New Roman" w:hAnsi="Times New Roman" w:cs="Times New Roman" w:hint="default"/>
        <w:w w:val="100"/>
        <w:sz w:val="24"/>
        <w:szCs w:val="24"/>
        <w:lang w:val="ca-ES" w:eastAsia="ca-ES" w:bidi="ca-ES"/>
      </w:rPr>
    </w:lvl>
    <w:lvl w:ilvl="2">
      <w:start w:val="1"/>
      <w:numFmt w:val="decimal"/>
      <w:lvlText w:val="%1.%2.%3."/>
      <w:lvlJc w:val="left"/>
      <w:pPr>
        <w:ind w:left="1960" w:hanging="600"/>
      </w:pPr>
      <w:rPr>
        <w:rFonts w:ascii="Times New Roman" w:eastAsia="Times New Roman" w:hAnsi="Times New Roman" w:cs="Times New Roman" w:hint="default"/>
        <w:spacing w:val="-5"/>
        <w:w w:val="99"/>
        <w:sz w:val="24"/>
        <w:szCs w:val="24"/>
        <w:lang w:val="ca-ES" w:eastAsia="ca-ES" w:bidi="ca-ES"/>
      </w:rPr>
    </w:lvl>
    <w:lvl w:ilvl="3">
      <w:numFmt w:val="bullet"/>
      <w:lvlText w:val="•"/>
      <w:lvlJc w:val="left"/>
      <w:pPr>
        <w:ind w:left="3628" w:hanging="600"/>
      </w:pPr>
      <w:rPr>
        <w:rFonts w:hint="default"/>
        <w:lang w:val="ca-ES" w:eastAsia="ca-ES" w:bidi="ca-ES"/>
      </w:rPr>
    </w:lvl>
    <w:lvl w:ilvl="4">
      <w:numFmt w:val="bullet"/>
      <w:lvlText w:val="•"/>
      <w:lvlJc w:val="left"/>
      <w:pPr>
        <w:ind w:left="4462" w:hanging="600"/>
      </w:pPr>
      <w:rPr>
        <w:rFonts w:hint="default"/>
        <w:lang w:val="ca-ES" w:eastAsia="ca-ES" w:bidi="ca-ES"/>
      </w:rPr>
    </w:lvl>
    <w:lvl w:ilvl="5">
      <w:numFmt w:val="bullet"/>
      <w:lvlText w:val="•"/>
      <w:lvlJc w:val="left"/>
      <w:pPr>
        <w:ind w:left="5296" w:hanging="600"/>
      </w:pPr>
      <w:rPr>
        <w:rFonts w:hint="default"/>
        <w:lang w:val="ca-ES" w:eastAsia="ca-ES" w:bidi="ca-ES"/>
      </w:rPr>
    </w:lvl>
    <w:lvl w:ilvl="6">
      <w:numFmt w:val="bullet"/>
      <w:lvlText w:val="•"/>
      <w:lvlJc w:val="left"/>
      <w:pPr>
        <w:ind w:left="6130" w:hanging="600"/>
      </w:pPr>
      <w:rPr>
        <w:rFonts w:hint="default"/>
        <w:lang w:val="ca-ES" w:eastAsia="ca-ES" w:bidi="ca-ES"/>
      </w:rPr>
    </w:lvl>
    <w:lvl w:ilvl="7">
      <w:numFmt w:val="bullet"/>
      <w:lvlText w:val="•"/>
      <w:lvlJc w:val="left"/>
      <w:pPr>
        <w:ind w:left="6964" w:hanging="600"/>
      </w:pPr>
      <w:rPr>
        <w:rFonts w:hint="default"/>
        <w:lang w:val="ca-ES" w:eastAsia="ca-ES" w:bidi="ca-ES"/>
      </w:rPr>
    </w:lvl>
    <w:lvl w:ilvl="8">
      <w:numFmt w:val="bullet"/>
      <w:lvlText w:val="•"/>
      <w:lvlJc w:val="left"/>
      <w:pPr>
        <w:ind w:left="7798" w:hanging="600"/>
      </w:pPr>
      <w:rPr>
        <w:rFonts w:hint="default"/>
        <w:lang w:val="ca-ES" w:eastAsia="ca-ES" w:bidi="ca-ES"/>
      </w:rPr>
    </w:lvl>
  </w:abstractNum>
  <w:abstractNum w:abstractNumId="6" w15:restartNumberingAfterBreak="0">
    <w:nsid w:val="0053208E"/>
    <w:multiLevelType w:val="multilevel"/>
    <w:tmpl w:val="0053208E"/>
    <w:lvl w:ilvl="0">
      <w:start w:val="1"/>
      <w:numFmt w:val="decimal"/>
      <w:lvlText w:val="%1."/>
      <w:lvlJc w:val="left"/>
      <w:pPr>
        <w:ind w:left="1660" w:hanging="360"/>
      </w:pPr>
      <w:rPr>
        <w:rFonts w:ascii="Times New Roman" w:eastAsia="Times New Roman" w:hAnsi="Times New Roman" w:cs="Times New Roman" w:hint="default"/>
        <w:spacing w:val="-3"/>
        <w:w w:val="100"/>
        <w:sz w:val="24"/>
        <w:szCs w:val="24"/>
        <w:lang w:val="ca-ES" w:eastAsia="ca-ES" w:bidi="ca-ES"/>
      </w:rPr>
    </w:lvl>
    <w:lvl w:ilvl="1">
      <w:numFmt w:val="bullet"/>
      <w:lvlText w:val="•"/>
      <w:lvlJc w:val="left"/>
      <w:pPr>
        <w:ind w:left="2440" w:hanging="360"/>
      </w:pPr>
      <w:rPr>
        <w:rFonts w:hint="default"/>
        <w:lang w:val="ca-ES" w:eastAsia="ca-ES" w:bidi="ca-ES"/>
      </w:rPr>
    </w:lvl>
    <w:lvl w:ilvl="2">
      <w:numFmt w:val="bullet"/>
      <w:lvlText w:val="•"/>
      <w:lvlJc w:val="left"/>
      <w:pPr>
        <w:ind w:left="3221" w:hanging="360"/>
      </w:pPr>
      <w:rPr>
        <w:rFonts w:hint="default"/>
        <w:lang w:val="ca-ES" w:eastAsia="ca-ES" w:bidi="ca-ES"/>
      </w:rPr>
    </w:lvl>
    <w:lvl w:ilvl="3">
      <w:numFmt w:val="bullet"/>
      <w:lvlText w:val="•"/>
      <w:lvlJc w:val="left"/>
      <w:pPr>
        <w:ind w:left="4001" w:hanging="360"/>
      </w:pPr>
      <w:rPr>
        <w:rFonts w:hint="default"/>
        <w:lang w:val="ca-ES" w:eastAsia="ca-ES" w:bidi="ca-ES"/>
      </w:rPr>
    </w:lvl>
    <w:lvl w:ilvl="4">
      <w:numFmt w:val="bullet"/>
      <w:lvlText w:val="•"/>
      <w:lvlJc w:val="left"/>
      <w:pPr>
        <w:ind w:left="4782" w:hanging="360"/>
      </w:pPr>
      <w:rPr>
        <w:rFonts w:hint="default"/>
        <w:lang w:val="ca-ES" w:eastAsia="ca-ES" w:bidi="ca-ES"/>
      </w:rPr>
    </w:lvl>
    <w:lvl w:ilvl="5">
      <w:numFmt w:val="bullet"/>
      <w:lvlText w:val="•"/>
      <w:lvlJc w:val="left"/>
      <w:pPr>
        <w:ind w:left="5563" w:hanging="360"/>
      </w:pPr>
      <w:rPr>
        <w:rFonts w:hint="default"/>
        <w:lang w:val="ca-ES" w:eastAsia="ca-ES" w:bidi="ca-ES"/>
      </w:rPr>
    </w:lvl>
    <w:lvl w:ilvl="6">
      <w:numFmt w:val="bullet"/>
      <w:lvlText w:val="•"/>
      <w:lvlJc w:val="left"/>
      <w:pPr>
        <w:ind w:left="6343" w:hanging="360"/>
      </w:pPr>
      <w:rPr>
        <w:rFonts w:hint="default"/>
        <w:lang w:val="ca-ES" w:eastAsia="ca-ES" w:bidi="ca-ES"/>
      </w:rPr>
    </w:lvl>
    <w:lvl w:ilvl="7">
      <w:numFmt w:val="bullet"/>
      <w:lvlText w:val="•"/>
      <w:lvlJc w:val="left"/>
      <w:pPr>
        <w:ind w:left="7124" w:hanging="360"/>
      </w:pPr>
      <w:rPr>
        <w:rFonts w:hint="default"/>
        <w:lang w:val="ca-ES" w:eastAsia="ca-ES" w:bidi="ca-ES"/>
      </w:rPr>
    </w:lvl>
    <w:lvl w:ilvl="8">
      <w:numFmt w:val="bullet"/>
      <w:lvlText w:val="•"/>
      <w:lvlJc w:val="left"/>
      <w:pPr>
        <w:ind w:left="7905" w:hanging="360"/>
      </w:pPr>
      <w:rPr>
        <w:rFonts w:hint="default"/>
        <w:lang w:val="ca-ES" w:eastAsia="ca-ES" w:bidi="ca-ES"/>
      </w:rPr>
    </w:lvl>
  </w:abstractNum>
  <w:abstractNum w:abstractNumId="7" w15:restartNumberingAfterBreak="0">
    <w:nsid w:val="0248C179"/>
    <w:multiLevelType w:val="multilevel"/>
    <w:tmpl w:val="0248C179"/>
    <w:lvl w:ilvl="0">
      <w:start w:val="1"/>
      <w:numFmt w:val="decimal"/>
      <w:lvlText w:val="%1."/>
      <w:lvlJc w:val="left"/>
      <w:pPr>
        <w:ind w:left="938" w:hanging="286"/>
      </w:pPr>
      <w:rPr>
        <w:rFonts w:ascii="Times New Roman" w:eastAsia="Times New Roman" w:hAnsi="Times New Roman" w:cs="Times New Roman" w:hint="default"/>
        <w:spacing w:val="-15"/>
        <w:w w:val="99"/>
        <w:sz w:val="24"/>
        <w:szCs w:val="24"/>
        <w:lang w:val="ca-ES" w:eastAsia="ca-ES" w:bidi="ca-ES"/>
      </w:rPr>
    </w:lvl>
    <w:lvl w:ilvl="1">
      <w:numFmt w:val="bullet"/>
      <w:lvlText w:val="•"/>
      <w:lvlJc w:val="left"/>
      <w:pPr>
        <w:ind w:left="1792" w:hanging="286"/>
      </w:pPr>
      <w:rPr>
        <w:rFonts w:hint="default"/>
        <w:lang w:val="ca-ES" w:eastAsia="ca-ES" w:bidi="ca-ES"/>
      </w:rPr>
    </w:lvl>
    <w:lvl w:ilvl="2">
      <w:numFmt w:val="bullet"/>
      <w:lvlText w:val="•"/>
      <w:lvlJc w:val="left"/>
      <w:pPr>
        <w:ind w:left="2645" w:hanging="286"/>
      </w:pPr>
      <w:rPr>
        <w:rFonts w:hint="default"/>
        <w:lang w:val="ca-ES" w:eastAsia="ca-ES" w:bidi="ca-ES"/>
      </w:rPr>
    </w:lvl>
    <w:lvl w:ilvl="3">
      <w:numFmt w:val="bullet"/>
      <w:lvlText w:val="•"/>
      <w:lvlJc w:val="left"/>
      <w:pPr>
        <w:ind w:left="3497" w:hanging="286"/>
      </w:pPr>
      <w:rPr>
        <w:rFonts w:hint="default"/>
        <w:lang w:val="ca-ES" w:eastAsia="ca-ES" w:bidi="ca-ES"/>
      </w:rPr>
    </w:lvl>
    <w:lvl w:ilvl="4">
      <w:numFmt w:val="bullet"/>
      <w:lvlText w:val="•"/>
      <w:lvlJc w:val="left"/>
      <w:pPr>
        <w:ind w:left="4350" w:hanging="286"/>
      </w:pPr>
      <w:rPr>
        <w:rFonts w:hint="default"/>
        <w:lang w:val="ca-ES" w:eastAsia="ca-ES" w:bidi="ca-ES"/>
      </w:rPr>
    </w:lvl>
    <w:lvl w:ilvl="5">
      <w:numFmt w:val="bullet"/>
      <w:lvlText w:val="•"/>
      <w:lvlJc w:val="left"/>
      <w:pPr>
        <w:ind w:left="5203" w:hanging="286"/>
      </w:pPr>
      <w:rPr>
        <w:rFonts w:hint="default"/>
        <w:lang w:val="ca-ES" w:eastAsia="ca-ES" w:bidi="ca-ES"/>
      </w:rPr>
    </w:lvl>
    <w:lvl w:ilvl="6">
      <w:numFmt w:val="bullet"/>
      <w:lvlText w:val="•"/>
      <w:lvlJc w:val="left"/>
      <w:pPr>
        <w:ind w:left="6055" w:hanging="286"/>
      </w:pPr>
      <w:rPr>
        <w:rFonts w:hint="default"/>
        <w:lang w:val="ca-ES" w:eastAsia="ca-ES" w:bidi="ca-ES"/>
      </w:rPr>
    </w:lvl>
    <w:lvl w:ilvl="7">
      <w:numFmt w:val="bullet"/>
      <w:lvlText w:val="•"/>
      <w:lvlJc w:val="left"/>
      <w:pPr>
        <w:ind w:left="6908" w:hanging="286"/>
      </w:pPr>
      <w:rPr>
        <w:rFonts w:hint="default"/>
        <w:lang w:val="ca-ES" w:eastAsia="ca-ES" w:bidi="ca-ES"/>
      </w:rPr>
    </w:lvl>
    <w:lvl w:ilvl="8">
      <w:numFmt w:val="bullet"/>
      <w:lvlText w:val="•"/>
      <w:lvlJc w:val="left"/>
      <w:pPr>
        <w:ind w:left="7761" w:hanging="286"/>
      </w:pPr>
      <w:rPr>
        <w:rFonts w:hint="default"/>
        <w:lang w:val="ca-ES" w:eastAsia="ca-ES" w:bidi="ca-ES"/>
      </w:rPr>
    </w:lvl>
  </w:abstractNum>
  <w:abstractNum w:abstractNumId="8" w15:restartNumberingAfterBreak="0">
    <w:nsid w:val="25B654F3"/>
    <w:multiLevelType w:val="multilevel"/>
    <w:tmpl w:val="25B654F3"/>
    <w:lvl w:ilvl="0">
      <w:start w:val="1"/>
      <w:numFmt w:val="decimal"/>
      <w:lvlText w:val="%1."/>
      <w:lvlJc w:val="left"/>
      <w:pPr>
        <w:ind w:left="1660" w:hanging="1440"/>
        <w:jc w:val="right"/>
      </w:pPr>
      <w:rPr>
        <w:rFonts w:hint="default"/>
        <w:spacing w:val="-2"/>
        <w:w w:val="99"/>
        <w:lang w:val="ca-ES" w:eastAsia="ca-ES" w:bidi="ca-ES"/>
      </w:rPr>
    </w:lvl>
    <w:lvl w:ilvl="1">
      <w:numFmt w:val="bullet"/>
      <w:lvlText w:val="•"/>
      <w:lvlJc w:val="left"/>
      <w:pPr>
        <w:ind w:left="2440" w:hanging="1440"/>
      </w:pPr>
      <w:rPr>
        <w:rFonts w:hint="default"/>
        <w:lang w:val="ca-ES" w:eastAsia="ca-ES" w:bidi="ca-ES"/>
      </w:rPr>
    </w:lvl>
    <w:lvl w:ilvl="2">
      <w:numFmt w:val="bullet"/>
      <w:lvlText w:val="•"/>
      <w:lvlJc w:val="left"/>
      <w:pPr>
        <w:ind w:left="3221" w:hanging="1440"/>
      </w:pPr>
      <w:rPr>
        <w:rFonts w:hint="default"/>
        <w:lang w:val="ca-ES" w:eastAsia="ca-ES" w:bidi="ca-ES"/>
      </w:rPr>
    </w:lvl>
    <w:lvl w:ilvl="3">
      <w:numFmt w:val="bullet"/>
      <w:lvlText w:val="•"/>
      <w:lvlJc w:val="left"/>
      <w:pPr>
        <w:ind w:left="4001" w:hanging="1440"/>
      </w:pPr>
      <w:rPr>
        <w:rFonts w:hint="default"/>
        <w:lang w:val="ca-ES" w:eastAsia="ca-ES" w:bidi="ca-ES"/>
      </w:rPr>
    </w:lvl>
    <w:lvl w:ilvl="4">
      <w:numFmt w:val="bullet"/>
      <w:lvlText w:val="•"/>
      <w:lvlJc w:val="left"/>
      <w:pPr>
        <w:ind w:left="4782" w:hanging="1440"/>
      </w:pPr>
      <w:rPr>
        <w:rFonts w:hint="default"/>
        <w:lang w:val="ca-ES" w:eastAsia="ca-ES" w:bidi="ca-ES"/>
      </w:rPr>
    </w:lvl>
    <w:lvl w:ilvl="5">
      <w:numFmt w:val="bullet"/>
      <w:lvlText w:val="•"/>
      <w:lvlJc w:val="left"/>
      <w:pPr>
        <w:ind w:left="5563" w:hanging="1440"/>
      </w:pPr>
      <w:rPr>
        <w:rFonts w:hint="default"/>
        <w:lang w:val="ca-ES" w:eastAsia="ca-ES" w:bidi="ca-ES"/>
      </w:rPr>
    </w:lvl>
    <w:lvl w:ilvl="6">
      <w:numFmt w:val="bullet"/>
      <w:lvlText w:val="•"/>
      <w:lvlJc w:val="left"/>
      <w:pPr>
        <w:ind w:left="6343" w:hanging="1440"/>
      </w:pPr>
      <w:rPr>
        <w:rFonts w:hint="default"/>
        <w:lang w:val="ca-ES" w:eastAsia="ca-ES" w:bidi="ca-ES"/>
      </w:rPr>
    </w:lvl>
    <w:lvl w:ilvl="7">
      <w:numFmt w:val="bullet"/>
      <w:lvlText w:val="•"/>
      <w:lvlJc w:val="left"/>
      <w:pPr>
        <w:ind w:left="7124" w:hanging="1440"/>
      </w:pPr>
      <w:rPr>
        <w:rFonts w:hint="default"/>
        <w:lang w:val="ca-ES" w:eastAsia="ca-ES" w:bidi="ca-ES"/>
      </w:rPr>
    </w:lvl>
    <w:lvl w:ilvl="8">
      <w:numFmt w:val="bullet"/>
      <w:lvlText w:val="•"/>
      <w:lvlJc w:val="left"/>
      <w:pPr>
        <w:ind w:left="7905" w:hanging="1440"/>
      </w:pPr>
      <w:rPr>
        <w:rFonts w:hint="default"/>
        <w:lang w:val="ca-ES" w:eastAsia="ca-ES" w:bidi="ca-ES"/>
      </w:rPr>
    </w:lvl>
  </w:abstractNum>
  <w:abstractNum w:abstractNumId="9" w15:restartNumberingAfterBreak="0">
    <w:nsid w:val="2A8F537B"/>
    <w:multiLevelType w:val="multilevel"/>
    <w:tmpl w:val="2A8F537B"/>
    <w:lvl w:ilvl="0">
      <w:start w:val="1"/>
      <w:numFmt w:val="decimal"/>
      <w:lvlText w:val="%1."/>
      <w:lvlJc w:val="left"/>
      <w:pPr>
        <w:ind w:left="220" w:hanging="317"/>
      </w:pPr>
      <w:rPr>
        <w:rFonts w:ascii="Times New Roman" w:eastAsia="Times New Roman" w:hAnsi="Times New Roman" w:cs="Times New Roman" w:hint="default"/>
        <w:spacing w:val="-5"/>
        <w:w w:val="99"/>
        <w:sz w:val="24"/>
        <w:szCs w:val="24"/>
        <w:lang w:val="ca-ES" w:eastAsia="ca-ES" w:bidi="ca-ES"/>
      </w:rPr>
    </w:lvl>
    <w:lvl w:ilvl="1">
      <w:numFmt w:val="bullet"/>
      <w:lvlText w:val="•"/>
      <w:lvlJc w:val="left"/>
      <w:pPr>
        <w:ind w:left="1144" w:hanging="317"/>
      </w:pPr>
      <w:rPr>
        <w:rFonts w:hint="default"/>
        <w:lang w:val="ca-ES" w:eastAsia="ca-ES" w:bidi="ca-ES"/>
      </w:rPr>
    </w:lvl>
    <w:lvl w:ilvl="2">
      <w:numFmt w:val="bullet"/>
      <w:lvlText w:val="•"/>
      <w:lvlJc w:val="left"/>
      <w:pPr>
        <w:ind w:left="2069" w:hanging="317"/>
      </w:pPr>
      <w:rPr>
        <w:rFonts w:hint="default"/>
        <w:lang w:val="ca-ES" w:eastAsia="ca-ES" w:bidi="ca-ES"/>
      </w:rPr>
    </w:lvl>
    <w:lvl w:ilvl="3">
      <w:numFmt w:val="bullet"/>
      <w:lvlText w:val="•"/>
      <w:lvlJc w:val="left"/>
      <w:pPr>
        <w:ind w:left="2993" w:hanging="317"/>
      </w:pPr>
      <w:rPr>
        <w:rFonts w:hint="default"/>
        <w:lang w:val="ca-ES" w:eastAsia="ca-ES" w:bidi="ca-ES"/>
      </w:rPr>
    </w:lvl>
    <w:lvl w:ilvl="4">
      <w:numFmt w:val="bullet"/>
      <w:lvlText w:val="•"/>
      <w:lvlJc w:val="left"/>
      <w:pPr>
        <w:ind w:left="3918" w:hanging="317"/>
      </w:pPr>
      <w:rPr>
        <w:rFonts w:hint="default"/>
        <w:lang w:val="ca-ES" w:eastAsia="ca-ES" w:bidi="ca-ES"/>
      </w:rPr>
    </w:lvl>
    <w:lvl w:ilvl="5">
      <w:numFmt w:val="bullet"/>
      <w:lvlText w:val="•"/>
      <w:lvlJc w:val="left"/>
      <w:pPr>
        <w:ind w:left="4843" w:hanging="317"/>
      </w:pPr>
      <w:rPr>
        <w:rFonts w:hint="default"/>
        <w:lang w:val="ca-ES" w:eastAsia="ca-ES" w:bidi="ca-ES"/>
      </w:rPr>
    </w:lvl>
    <w:lvl w:ilvl="6">
      <w:numFmt w:val="bullet"/>
      <w:lvlText w:val="•"/>
      <w:lvlJc w:val="left"/>
      <w:pPr>
        <w:ind w:left="5767" w:hanging="317"/>
      </w:pPr>
      <w:rPr>
        <w:rFonts w:hint="default"/>
        <w:lang w:val="ca-ES" w:eastAsia="ca-ES" w:bidi="ca-ES"/>
      </w:rPr>
    </w:lvl>
    <w:lvl w:ilvl="7">
      <w:numFmt w:val="bullet"/>
      <w:lvlText w:val="•"/>
      <w:lvlJc w:val="left"/>
      <w:pPr>
        <w:ind w:left="6692" w:hanging="317"/>
      </w:pPr>
      <w:rPr>
        <w:rFonts w:hint="default"/>
        <w:lang w:val="ca-ES" w:eastAsia="ca-ES" w:bidi="ca-ES"/>
      </w:rPr>
    </w:lvl>
    <w:lvl w:ilvl="8">
      <w:numFmt w:val="bullet"/>
      <w:lvlText w:val="•"/>
      <w:lvlJc w:val="left"/>
      <w:pPr>
        <w:ind w:left="7617" w:hanging="317"/>
      </w:pPr>
      <w:rPr>
        <w:rFonts w:hint="default"/>
        <w:lang w:val="ca-ES" w:eastAsia="ca-ES" w:bidi="ca-ES"/>
      </w:rPr>
    </w:lvl>
  </w:abstractNum>
  <w:abstractNum w:abstractNumId="10" w15:restartNumberingAfterBreak="0">
    <w:nsid w:val="35740F44"/>
    <w:multiLevelType w:val="singleLevel"/>
    <w:tmpl w:val="35740F44"/>
    <w:lvl w:ilvl="0">
      <w:start w:val="1"/>
      <w:numFmt w:val="decimal"/>
      <w:suff w:val="space"/>
      <w:lvlText w:val="%1."/>
      <w:lvlJc w:val="left"/>
    </w:lvl>
  </w:abstractNum>
  <w:abstractNum w:abstractNumId="11" w15:restartNumberingAfterBreak="0">
    <w:nsid w:val="58AF510B"/>
    <w:multiLevelType w:val="singleLevel"/>
    <w:tmpl w:val="58AF510B"/>
    <w:lvl w:ilvl="0">
      <w:start w:val="1"/>
      <w:numFmt w:val="decimal"/>
      <w:suff w:val="space"/>
      <w:lvlText w:val="%1."/>
      <w:lvlJc w:val="left"/>
    </w:lvl>
  </w:abstractNum>
  <w:abstractNum w:abstractNumId="12" w15:restartNumberingAfterBreak="0">
    <w:nsid w:val="5A241D34"/>
    <w:multiLevelType w:val="multilevel"/>
    <w:tmpl w:val="5A241D34"/>
    <w:lvl w:ilvl="0">
      <w:start w:val="2"/>
      <w:numFmt w:val="decimal"/>
      <w:lvlText w:val="%1"/>
      <w:lvlJc w:val="left"/>
      <w:pPr>
        <w:ind w:left="580" w:hanging="360"/>
      </w:pPr>
      <w:rPr>
        <w:rFonts w:hint="default"/>
        <w:lang w:val="ca-ES" w:eastAsia="ca-ES" w:bidi="ca-ES"/>
      </w:rPr>
    </w:lvl>
    <w:lvl w:ilvl="1">
      <w:start w:val="1"/>
      <w:numFmt w:val="decimal"/>
      <w:lvlText w:val="%1.%2"/>
      <w:lvlJc w:val="left"/>
      <w:pPr>
        <w:ind w:left="580" w:hanging="360"/>
      </w:pPr>
      <w:rPr>
        <w:rFonts w:ascii="Times New Roman" w:eastAsia="Times New Roman" w:hAnsi="Times New Roman" w:cs="Times New Roman" w:hint="default"/>
        <w:b/>
        <w:bCs/>
        <w:spacing w:val="-3"/>
        <w:w w:val="99"/>
        <w:sz w:val="24"/>
        <w:szCs w:val="24"/>
        <w:lang w:val="ca-ES" w:eastAsia="ca-ES" w:bidi="ca-ES"/>
      </w:rPr>
    </w:lvl>
    <w:lvl w:ilvl="2">
      <w:start w:val="1"/>
      <w:numFmt w:val="decimal"/>
      <w:lvlText w:val="%1.%2.%3"/>
      <w:lvlJc w:val="left"/>
      <w:pPr>
        <w:ind w:left="940" w:hanging="720"/>
      </w:pPr>
      <w:rPr>
        <w:rFonts w:ascii="Times New Roman" w:eastAsia="Times New Roman" w:hAnsi="Times New Roman" w:cs="Times New Roman" w:hint="default"/>
        <w:b/>
        <w:bCs/>
        <w:spacing w:val="-3"/>
        <w:w w:val="99"/>
        <w:sz w:val="24"/>
        <w:szCs w:val="24"/>
        <w:lang w:val="ca-ES" w:eastAsia="ca-ES" w:bidi="ca-ES"/>
      </w:rPr>
    </w:lvl>
    <w:lvl w:ilvl="3">
      <w:numFmt w:val="bullet"/>
      <w:lvlText w:val="•"/>
      <w:lvlJc w:val="left"/>
      <w:pPr>
        <w:ind w:left="2834" w:hanging="720"/>
      </w:pPr>
      <w:rPr>
        <w:rFonts w:hint="default"/>
        <w:lang w:val="ca-ES" w:eastAsia="ca-ES" w:bidi="ca-ES"/>
      </w:rPr>
    </w:lvl>
    <w:lvl w:ilvl="4">
      <w:numFmt w:val="bullet"/>
      <w:lvlText w:val="•"/>
      <w:lvlJc w:val="left"/>
      <w:pPr>
        <w:ind w:left="3782" w:hanging="720"/>
      </w:pPr>
      <w:rPr>
        <w:rFonts w:hint="default"/>
        <w:lang w:val="ca-ES" w:eastAsia="ca-ES" w:bidi="ca-ES"/>
      </w:rPr>
    </w:lvl>
    <w:lvl w:ilvl="5">
      <w:numFmt w:val="bullet"/>
      <w:lvlText w:val="•"/>
      <w:lvlJc w:val="left"/>
      <w:pPr>
        <w:ind w:left="4729" w:hanging="720"/>
      </w:pPr>
      <w:rPr>
        <w:rFonts w:hint="default"/>
        <w:lang w:val="ca-ES" w:eastAsia="ca-ES" w:bidi="ca-ES"/>
      </w:rPr>
    </w:lvl>
    <w:lvl w:ilvl="6">
      <w:numFmt w:val="bullet"/>
      <w:lvlText w:val="•"/>
      <w:lvlJc w:val="left"/>
      <w:pPr>
        <w:ind w:left="5676" w:hanging="720"/>
      </w:pPr>
      <w:rPr>
        <w:rFonts w:hint="default"/>
        <w:lang w:val="ca-ES" w:eastAsia="ca-ES" w:bidi="ca-ES"/>
      </w:rPr>
    </w:lvl>
    <w:lvl w:ilvl="7">
      <w:numFmt w:val="bullet"/>
      <w:lvlText w:val="•"/>
      <w:lvlJc w:val="left"/>
      <w:pPr>
        <w:ind w:left="6624" w:hanging="720"/>
      </w:pPr>
      <w:rPr>
        <w:rFonts w:hint="default"/>
        <w:lang w:val="ca-ES" w:eastAsia="ca-ES" w:bidi="ca-ES"/>
      </w:rPr>
    </w:lvl>
    <w:lvl w:ilvl="8">
      <w:numFmt w:val="bullet"/>
      <w:lvlText w:val="•"/>
      <w:lvlJc w:val="left"/>
      <w:pPr>
        <w:ind w:left="7571" w:hanging="720"/>
      </w:pPr>
      <w:rPr>
        <w:rFonts w:hint="default"/>
        <w:lang w:val="ca-ES" w:eastAsia="ca-ES" w:bidi="ca-ES"/>
      </w:rPr>
    </w:lvl>
  </w:abstractNum>
  <w:abstractNum w:abstractNumId="13" w15:restartNumberingAfterBreak="0">
    <w:nsid w:val="5F8F2735"/>
    <w:multiLevelType w:val="singleLevel"/>
    <w:tmpl w:val="5F8F2735"/>
    <w:lvl w:ilvl="0">
      <w:start w:val="1"/>
      <w:numFmt w:val="decimal"/>
      <w:suff w:val="space"/>
      <w:lvlText w:val="%1."/>
      <w:lvlJc w:val="left"/>
    </w:lvl>
  </w:abstractNum>
  <w:abstractNum w:abstractNumId="14" w15:restartNumberingAfterBreak="0">
    <w:nsid w:val="5FD62E9B"/>
    <w:multiLevelType w:val="singleLevel"/>
    <w:tmpl w:val="5FD62E9B"/>
    <w:lvl w:ilvl="0">
      <w:start w:val="1"/>
      <w:numFmt w:val="decimal"/>
      <w:suff w:val="space"/>
      <w:lvlText w:val="%1."/>
      <w:lvlJc w:val="left"/>
    </w:lvl>
  </w:abstractNum>
  <w:abstractNum w:abstractNumId="15" w15:restartNumberingAfterBreak="0">
    <w:nsid w:val="69DF4C5D"/>
    <w:multiLevelType w:val="singleLevel"/>
    <w:tmpl w:val="69DF4C5D"/>
    <w:lvl w:ilvl="0">
      <w:start w:val="1"/>
      <w:numFmt w:val="decimal"/>
      <w:suff w:val="space"/>
      <w:lvlText w:val="%1."/>
      <w:lvlJc w:val="left"/>
    </w:lvl>
  </w:abstractNum>
  <w:abstractNum w:abstractNumId="16" w15:restartNumberingAfterBreak="0">
    <w:nsid w:val="70484523"/>
    <w:multiLevelType w:val="multilevel"/>
    <w:tmpl w:val="22A8C9D6"/>
    <w:lvl w:ilvl="0">
      <w:start w:val="1"/>
      <w:numFmt w:val="decimal"/>
      <w:lvlText w:val="%1"/>
      <w:lvlJc w:val="left"/>
      <w:pPr>
        <w:ind w:left="360" w:hanging="360"/>
      </w:pPr>
      <w:rPr>
        <w:rFonts w:hint="default"/>
      </w:rPr>
    </w:lvl>
    <w:lvl w:ilvl="1">
      <w:start w:val="1"/>
      <w:numFmt w:val="decimal"/>
      <w:lvlText w:val="%1.%2"/>
      <w:lvlJc w:val="left"/>
      <w:pPr>
        <w:ind w:left="1660" w:hanging="360"/>
      </w:pPr>
      <w:rPr>
        <w:rFonts w:hint="default"/>
      </w:rPr>
    </w:lvl>
    <w:lvl w:ilvl="2">
      <w:start w:val="1"/>
      <w:numFmt w:val="decimal"/>
      <w:lvlText w:val="%1.%2.%3"/>
      <w:lvlJc w:val="left"/>
      <w:pPr>
        <w:ind w:left="3320" w:hanging="720"/>
      </w:pPr>
      <w:rPr>
        <w:rFonts w:hint="default"/>
      </w:rPr>
    </w:lvl>
    <w:lvl w:ilvl="3">
      <w:start w:val="1"/>
      <w:numFmt w:val="decimal"/>
      <w:lvlText w:val="%1.%2.%3.%4"/>
      <w:lvlJc w:val="left"/>
      <w:pPr>
        <w:ind w:left="4620" w:hanging="720"/>
      </w:pPr>
      <w:rPr>
        <w:rFonts w:hint="default"/>
      </w:rPr>
    </w:lvl>
    <w:lvl w:ilvl="4">
      <w:start w:val="1"/>
      <w:numFmt w:val="decimal"/>
      <w:lvlText w:val="%1.%2.%3.%4.%5"/>
      <w:lvlJc w:val="left"/>
      <w:pPr>
        <w:ind w:left="6280" w:hanging="1080"/>
      </w:pPr>
      <w:rPr>
        <w:rFonts w:hint="default"/>
      </w:rPr>
    </w:lvl>
    <w:lvl w:ilvl="5">
      <w:start w:val="1"/>
      <w:numFmt w:val="decimal"/>
      <w:lvlText w:val="%1.%2.%3.%4.%5.%6"/>
      <w:lvlJc w:val="left"/>
      <w:pPr>
        <w:ind w:left="7580" w:hanging="1080"/>
      </w:pPr>
      <w:rPr>
        <w:rFonts w:hint="default"/>
      </w:rPr>
    </w:lvl>
    <w:lvl w:ilvl="6">
      <w:start w:val="1"/>
      <w:numFmt w:val="decimal"/>
      <w:lvlText w:val="%1.%2.%3.%4.%5.%6.%7"/>
      <w:lvlJc w:val="left"/>
      <w:pPr>
        <w:ind w:left="9240" w:hanging="1440"/>
      </w:pPr>
      <w:rPr>
        <w:rFonts w:hint="default"/>
      </w:rPr>
    </w:lvl>
    <w:lvl w:ilvl="7">
      <w:start w:val="1"/>
      <w:numFmt w:val="decimal"/>
      <w:lvlText w:val="%1.%2.%3.%4.%5.%6.%7.%8"/>
      <w:lvlJc w:val="left"/>
      <w:pPr>
        <w:ind w:left="10540" w:hanging="1440"/>
      </w:pPr>
      <w:rPr>
        <w:rFonts w:hint="default"/>
      </w:rPr>
    </w:lvl>
    <w:lvl w:ilvl="8">
      <w:start w:val="1"/>
      <w:numFmt w:val="decimal"/>
      <w:lvlText w:val="%1.%2.%3.%4.%5.%6.%7.%8.%9"/>
      <w:lvlJc w:val="left"/>
      <w:pPr>
        <w:ind w:left="12200" w:hanging="1800"/>
      </w:pPr>
      <w:rPr>
        <w:rFonts w:hint="default"/>
      </w:rPr>
    </w:lvl>
  </w:abstractNum>
  <w:abstractNum w:abstractNumId="17" w15:restartNumberingAfterBreak="0">
    <w:nsid w:val="72183CF9"/>
    <w:multiLevelType w:val="multilevel"/>
    <w:tmpl w:val="72183CF9"/>
    <w:lvl w:ilvl="0">
      <w:start w:val="1"/>
      <w:numFmt w:val="decimal"/>
      <w:lvlText w:val="%1."/>
      <w:lvlJc w:val="left"/>
      <w:pPr>
        <w:ind w:left="940" w:hanging="660"/>
      </w:pPr>
      <w:rPr>
        <w:rFonts w:ascii="Times New Roman" w:eastAsia="Times New Roman" w:hAnsi="Times New Roman" w:cs="Times New Roman" w:hint="default"/>
        <w:spacing w:val="-4"/>
        <w:w w:val="99"/>
        <w:sz w:val="24"/>
        <w:szCs w:val="24"/>
        <w:lang w:val="ca-ES" w:eastAsia="ca-ES" w:bidi="ca-ES"/>
      </w:rPr>
    </w:lvl>
    <w:lvl w:ilvl="1">
      <w:numFmt w:val="bullet"/>
      <w:lvlText w:val="•"/>
      <w:lvlJc w:val="left"/>
      <w:pPr>
        <w:ind w:left="1000" w:hanging="660"/>
      </w:pPr>
      <w:rPr>
        <w:rFonts w:hint="default"/>
        <w:lang w:val="ca-ES" w:eastAsia="ca-ES" w:bidi="ca-ES"/>
      </w:rPr>
    </w:lvl>
    <w:lvl w:ilvl="2">
      <w:numFmt w:val="bullet"/>
      <w:lvlText w:val="•"/>
      <w:lvlJc w:val="left"/>
      <w:pPr>
        <w:ind w:left="1940" w:hanging="660"/>
      </w:pPr>
      <w:rPr>
        <w:rFonts w:hint="default"/>
        <w:lang w:val="ca-ES" w:eastAsia="ca-ES" w:bidi="ca-ES"/>
      </w:rPr>
    </w:lvl>
    <w:lvl w:ilvl="3">
      <w:numFmt w:val="bullet"/>
      <w:lvlText w:val="•"/>
      <w:lvlJc w:val="left"/>
      <w:pPr>
        <w:ind w:left="2881" w:hanging="660"/>
      </w:pPr>
      <w:rPr>
        <w:rFonts w:hint="default"/>
        <w:lang w:val="ca-ES" w:eastAsia="ca-ES" w:bidi="ca-ES"/>
      </w:rPr>
    </w:lvl>
    <w:lvl w:ilvl="4">
      <w:numFmt w:val="bullet"/>
      <w:lvlText w:val="•"/>
      <w:lvlJc w:val="left"/>
      <w:pPr>
        <w:ind w:left="3822" w:hanging="660"/>
      </w:pPr>
      <w:rPr>
        <w:rFonts w:hint="default"/>
        <w:lang w:val="ca-ES" w:eastAsia="ca-ES" w:bidi="ca-ES"/>
      </w:rPr>
    </w:lvl>
    <w:lvl w:ilvl="5">
      <w:numFmt w:val="bullet"/>
      <w:lvlText w:val="•"/>
      <w:lvlJc w:val="left"/>
      <w:pPr>
        <w:ind w:left="4762" w:hanging="660"/>
      </w:pPr>
      <w:rPr>
        <w:rFonts w:hint="default"/>
        <w:lang w:val="ca-ES" w:eastAsia="ca-ES" w:bidi="ca-ES"/>
      </w:rPr>
    </w:lvl>
    <w:lvl w:ilvl="6">
      <w:numFmt w:val="bullet"/>
      <w:lvlText w:val="•"/>
      <w:lvlJc w:val="left"/>
      <w:pPr>
        <w:ind w:left="5703" w:hanging="660"/>
      </w:pPr>
      <w:rPr>
        <w:rFonts w:hint="default"/>
        <w:lang w:val="ca-ES" w:eastAsia="ca-ES" w:bidi="ca-ES"/>
      </w:rPr>
    </w:lvl>
    <w:lvl w:ilvl="7">
      <w:numFmt w:val="bullet"/>
      <w:lvlText w:val="•"/>
      <w:lvlJc w:val="left"/>
      <w:pPr>
        <w:ind w:left="6644" w:hanging="660"/>
      </w:pPr>
      <w:rPr>
        <w:rFonts w:hint="default"/>
        <w:lang w:val="ca-ES" w:eastAsia="ca-ES" w:bidi="ca-ES"/>
      </w:rPr>
    </w:lvl>
    <w:lvl w:ilvl="8">
      <w:numFmt w:val="bullet"/>
      <w:lvlText w:val="•"/>
      <w:lvlJc w:val="left"/>
      <w:pPr>
        <w:ind w:left="7584" w:hanging="660"/>
      </w:pPr>
      <w:rPr>
        <w:rFonts w:hint="default"/>
        <w:lang w:val="ca-ES" w:eastAsia="ca-ES" w:bidi="ca-ES"/>
      </w:rPr>
    </w:lvl>
  </w:abstractNum>
  <w:num w:numId="1">
    <w:abstractNumId w:val="6"/>
  </w:num>
  <w:num w:numId="2">
    <w:abstractNumId w:val="5"/>
  </w:num>
  <w:num w:numId="3">
    <w:abstractNumId w:val="2"/>
  </w:num>
  <w:num w:numId="4">
    <w:abstractNumId w:val="8"/>
  </w:num>
  <w:num w:numId="5">
    <w:abstractNumId w:val="17"/>
  </w:num>
  <w:num w:numId="6">
    <w:abstractNumId w:val="7"/>
  </w:num>
  <w:num w:numId="7">
    <w:abstractNumId w:val="9"/>
  </w:num>
  <w:num w:numId="8">
    <w:abstractNumId w:val="12"/>
  </w:num>
  <w:num w:numId="9">
    <w:abstractNumId w:val="1"/>
  </w:num>
  <w:num w:numId="10">
    <w:abstractNumId w:val="4"/>
  </w:num>
  <w:num w:numId="11">
    <w:abstractNumId w:val="14"/>
  </w:num>
  <w:num w:numId="12">
    <w:abstractNumId w:val="15"/>
  </w:num>
  <w:num w:numId="13">
    <w:abstractNumId w:val="0"/>
  </w:num>
  <w:num w:numId="14">
    <w:abstractNumId w:val="11"/>
  </w:num>
  <w:num w:numId="15">
    <w:abstractNumId w:val="10"/>
  </w:num>
  <w:num w:numId="16">
    <w:abstractNumId w:val="13"/>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D79"/>
    <w:rsid w:val="0001138B"/>
    <w:rsid w:val="00046A73"/>
    <w:rsid w:val="000A6B73"/>
    <w:rsid w:val="0011607D"/>
    <w:rsid w:val="00251E20"/>
    <w:rsid w:val="002C245C"/>
    <w:rsid w:val="00351652"/>
    <w:rsid w:val="003F5C7C"/>
    <w:rsid w:val="004877A5"/>
    <w:rsid w:val="00653765"/>
    <w:rsid w:val="00667E6E"/>
    <w:rsid w:val="006D0D9E"/>
    <w:rsid w:val="007C1E15"/>
    <w:rsid w:val="007D6489"/>
    <w:rsid w:val="008056CD"/>
    <w:rsid w:val="00881374"/>
    <w:rsid w:val="00A31D79"/>
    <w:rsid w:val="00A761F6"/>
    <w:rsid w:val="00E64AEA"/>
    <w:rsid w:val="00EC69B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AC0A82"/>
  <w15:chartTrackingRefBased/>
  <w15:docId w15:val="{2D9ACE34-734C-4D3C-BCC3-4013CF66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31D79"/>
    <w:pPr>
      <w:widowControl w:val="0"/>
      <w:autoSpaceDE w:val="0"/>
      <w:autoSpaceDN w:val="0"/>
      <w:spacing w:after="0" w:line="240" w:lineRule="auto"/>
    </w:pPr>
    <w:rPr>
      <w:rFonts w:ascii="Times New Roman" w:eastAsia="Times New Roman" w:hAnsi="Times New Roman" w:cs="Times New Roman"/>
      <w:lang w:val="ca-ES" w:eastAsia="ca-ES" w:bidi="ca-ES"/>
    </w:rPr>
  </w:style>
  <w:style w:type="paragraph" w:styleId="Heading1">
    <w:name w:val="heading 1"/>
    <w:basedOn w:val="Normal"/>
    <w:next w:val="Normal"/>
    <w:link w:val="Heading1Char"/>
    <w:uiPriority w:val="1"/>
    <w:qFormat/>
    <w:rsid w:val="00A31D79"/>
    <w:pPr>
      <w:spacing w:before="59"/>
      <w:ind w:left="1122" w:right="1122"/>
      <w:jc w:val="center"/>
      <w:outlineLvl w:val="0"/>
    </w:pPr>
    <w:rPr>
      <w:b/>
      <w:bCs/>
      <w:sz w:val="36"/>
      <w:szCs w:val="36"/>
    </w:rPr>
  </w:style>
  <w:style w:type="paragraph" w:styleId="Heading2">
    <w:name w:val="heading 2"/>
    <w:basedOn w:val="Normal"/>
    <w:next w:val="Normal"/>
    <w:link w:val="Heading2Char"/>
    <w:uiPriority w:val="1"/>
    <w:qFormat/>
    <w:rsid w:val="00A31D79"/>
    <w:pPr>
      <w:ind w:left="99"/>
      <w:outlineLvl w:val="1"/>
    </w:pPr>
    <w:rPr>
      <w:b/>
      <w:bCs/>
      <w:sz w:val="28"/>
      <w:szCs w:val="28"/>
    </w:rPr>
  </w:style>
  <w:style w:type="paragraph" w:styleId="Heading3">
    <w:name w:val="heading 3"/>
    <w:basedOn w:val="Normal"/>
    <w:next w:val="Normal"/>
    <w:link w:val="Heading3Char"/>
    <w:uiPriority w:val="1"/>
    <w:qFormat/>
    <w:rsid w:val="00A31D79"/>
    <w:pPr>
      <w:spacing w:before="78"/>
      <w:ind w:left="2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31D79"/>
    <w:rPr>
      <w:rFonts w:ascii="Times New Roman" w:eastAsia="Times New Roman" w:hAnsi="Times New Roman" w:cs="Times New Roman"/>
      <w:b/>
      <w:bCs/>
      <w:sz w:val="36"/>
      <w:szCs w:val="36"/>
      <w:lang w:val="ca-ES" w:eastAsia="ca-ES" w:bidi="ca-ES"/>
    </w:rPr>
  </w:style>
  <w:style w:type="character" w:customStyle="1" w:styleId="Heading2Char">
    <w:name w:val="Heading 2 Char"/>
    <w:basedOn w:val="DefaultParagraphFont"/>
    <w:link w:val="Heading2"/>
    <w:uiPriority w:val="1"/>
    <w:rsid w:val="00A31D79"/>
    <w:rPr>
      <w:rFonts w:ascii="Times New Roman" w:eastAsia="Times New Roman" w:hAnsi="Times New Roman" w:cs="Times New Roman"/>
      <w:b/>
      <w:bCs/>
      <w:sz w:val="28"/>
      <w:szCs w:val="28"/>
      <w:lang w:val="ca-ES" w:eastAsia="ca-ES" w:bidi="ca-ES"/>
    </w:rPr>
  </w:style>
  <w:style w:type="character" w:customStyle="1" w:styleId="Heading3Char">
    <w:name w:val="Heading 3 Char"/>
    <w:basedOn w:val="DefaultParagraphFont"/>
    <w:link w:val="Heading3"/>
    <w:uiPriority w:val="1"/>
    <w:rsid w:val="00A31D79"/>
    <w:rPr>
      <w:rFonts w:ascii="Times New Roman" w:eastAsia="Times New Roman" w:hAnsi="Times New Roman" w:cs="Times New Roman"/>
      <w:b/>
      <w:bCs/>
      <w:sz w:val="24"/>
      <w:szCs w:val="24"/>
      <w:lang w:val="ca-ES" w:eastAsia="ca-ES" w:bidi="ca-ES"/>
    </w:rPr>
  </w:style>
  <w:style w:type="paragraph" w:styleId="BalloonText">
    <w:name w:val="Balloon Text"/>
    <w:basedOn w:val="Normal"/>
    <w:link w:val="BalloonTextChar"/>
    <w:rsid w:val="00A31D79"/>
    <w:rPr>
      <w:rFonts w:ascii="Segoe UI" w:hAnsi="Segoe UI" w:cs="Segoe UI"/>
      <w:sz w:val="18"/>
      <w:szCs w:val="18"/>
    </w:rPr>
  </w:style>
  <w:style w:type="character" w:customStyle="1" w:styleId="BalloonTextChar">
    <w:name w:val="Balloon Text Char"/>
    <w:basedOn w:val="DefaultParagraphFont"/>
    <w:link w:val="BalloonText"/>
    <w:qFormat/>
    <w:rsid w:val="00A31D79"/>
    <w:rPr>
      <w:rFonts w:ascii="Segoe UI" w:eastAsia="Times New Roman" w:hAnsi="Segoe UI" w:cs="Segoe UI"/>
      <w:sz w:val="18"/>
      <w:szCs w:val="18"/>
      <w:lang w:val="ca-ES" w:eastAsia="ca-ES" w:bidi="ca-ES"/>
    </w:rPr>
  </w:style>
  <w:style w:type="paragraph" w:styleId="BodyText">
    <w:name w:val="Body Text"/>
    <w:basedOn w:val="Normal"/>
    <w:link w:val="BodyTextChar"/>
    <w:uiPriority w:val="1"/>
    <w:qFormat/>
    <w:rsid w:val="00A31D79"/>
    <w:rPr>
      <w:sz w:val="24"/>
      <w:szCs w:val="24"/>
    </w:rPr>
  </w:style>
  <w:style w:type="character" w:customStyle="1" w:styleId="BodyTextChar">
    <w:name w:val="Body Text Char"/>
    <w:basedOn w:val="DefaultParagraphFont"/>
    <w:link w:val="BodyText"/>
    <w:uiPriority w:val="1"/>
    <w:rsid w:val="00A31D79"/>
    <w:rPr>
      <w:rFonts w:ascii="Times New Roman" w:eastAsia="Times New Roman" w:hAnsi="Times New Roman" w:cs="Times New Roman"/>
      <w:sz w:val="24"/>
      <w:szCs w:val="24"/>
      <w:lang w:val="ca-ES" w:eastAsia="ca-ES" w:bidi="ca-ES"/>
    </w:rPr>
  </w:style>
  <w:style w:type="paragraph" w:styleId="Footer">
    <w:name w:val="footer"/>
    <w:basedOn w:val="Normal"/>
    <w:link w:val="FooterChar"/>
    <w:uiPriority w:val="99"/>
    <w:rsid w:val="00A31D79"/>
    <w:pPr>
      <w:tabs>
        <w:tab w:val="center" w:pos="4513"/>
        <w:tab w:val="right" w:pos="9026"/>
      </w:tabs>
    </w:pPr>
  </w:style>
  <w:style w:type="character" w:customStyle="1" w:styleId="FooterChar">
    <w:name w:val="Footer Char"/>
    <w:basedOn w:val="DefaultParagraphFont"/>
    <w:link w:val="Footer"/>
    <w:uiPriority w:val="99"/>
    <w:qFormat/>
    <w:rsid w:val="00A31D79"/>
    <w:rPr>
      <w:rFonts w:ascii="Times New Roman" w:eastAsia="Times New Roman" w:hAnsi="Times New Roman" w:cs="Times New Roman"/>
      <w:lang w:val="ca-ES" w:eastAsia="ca-ES" w:bidi="ca-ES"/>
    </w:rPr>
  </w:style>
  <w:style w:type="paragraph" w:styleId="Header">
    <w:name w:val="header"/>
    <w:basedOn w:val="Normal"/>
    <w:link w:val="HeaderChar"/>
    <w:uiPriority w:val="99"/>
    <w:qFormat/>
    <w:rsid w:val="00A31D79"/>
    <w:pPr>
      <w:tabs>
        <w:tab w:val="center" w:pos="4513"/>
        <w:tab w:val="right" w:pos="9026"/>
      </w:tabs>
    </w:pPr>
  </w:style>
  <w:style w:type="character" w:customStyle="1" w:styleId="HeaderChar">
    <w:name w:val="Header Char"/>
    <w:basedOn w:val="DefaultParagraphFont"/>
    <w:link w:val="Header"/>
    <w:uiPriority w:val="99"/>
    <w:qFormat/>
    <w:rsid w:val="00A31D79"/>
    <w:rPr>
      <w:rFonts w:ascii="Times New Roman" w:eastAsia="Times New Roman" w:hAnsi="Times New Roman" w:cs="Times New Roman"/>
      <w:lang w:val="ca-ES" w:eastAsia="ca-ES" w:bidi="ca-ES"/>
    </w:rPr>
  </w:style>
  <w:style w:type="paragraph" w:styleId="NormalWeb">
    <w:name w:val="Normal (Web)"/>
    <w:rsid w:val="00A31D79"/>
    <w:pPr>
      <w:spacing w:beforeAutospacing="1" w:after="0" w:afterAutospacing="1"/>
    </w:pPr>
    <w:rPr>
      <w:rFonts w:ascii="Times New Roman" w:eastAsia="SimSun" w:hAnsi="Times New Roman" w:cs="Times New Roman"/>
      <w:sz w:val="24"/>
      <w:szCs w:val="24"/>
      <w:lang w:val="en-US" w:eastAsia="zh-CN"/>
    </w:rPr>
  </w:style>
  <w:style w:type="paragraph" w:styleId="TOC1">
    <w:name w:val="toc 1"/>
    <w:basedOn w:val="Normal"/>
    <w:next w:val="Normal"/>
    <w:uiPriority w:val="1"/>
    <w:qFormat/>
    <w:rsid w:val="00A31D79"/>
    <w:pPr>
      <w:spacing w:before="257"/>
      <w:ind w:left="172"/>
    </w:pPr>
    <w:rPr>
      <w:sz w:val="24"/>
      <w:szCs w:val="24"/>
    </w:rPr>
  </w:style>
  <w:style w:type="paragraph" w:styleId="TOC2">
    <w:name w:val="toc 2"/>
    <w:basedOn w:val="Normal"/>
    <w:next w:val="Normal"/>
    <w:uiPriority w:val="1"/>
    <w:qFormat/>
    <w:rsid w:val="00A31D79"/>
    <w:pPr>
      <w:spacing w:before="280"/>
      <w:ind w:left="220"/>
    </w:pPr>
    <w:rPr>
      <w:sz w:val="24"/>
      <w:szCs w:val="24"/>
      <w:u w:val="single" w:color="000000"/>
    </w:rPr>
  </w:style>
  <w:style w:type="paragraph" w:styleId="TOC3">
    <w:name w:val="toc 3"/>
    <w:basedOn w:val="Normal"/>
    <w:next w:val="Normal"/>
    <w:uiPriority w:val="1"/>
    <w:qFormat/>
    <w:rsid w:val="00A31D79"/>
    <w:pPr>
      <w:ind w:left="1660" w:hanging="360"/>
    </w:pPr>
    <w:rPr>
      <w:sz w:val="24"/>
      <w:szCs w:val="24"/>
    </w:rPr>
  </w:style>
  <w:style w:type="character" w:styleId="FollowedHyperlink">
    <w:name w:val="FollowedHyperlink"/>
    <w:uiPriority w:val="99"/>
    <w:qFormat/>
    <w:rsid w:val="00A31D79"/>
    <w:rPr>
      <w:color w:val="954F72"/>
      <w:u w:val="single"/>
    </w:rPr>
  </w:style>
  <w:style w:type="character" w:styleId="Hyperlink">
    <w:name w:val="Hyperlink"/>
    <w:uiPriority w:val="99"/>
    <w:qFormat/>
    <w:rsid w:val="00A31D79"/>
    <w:rPr>
      <w:color w:val="0563C1"/>
      <w:u w:val="single"/>
    </w:rPr>
  </w:style>
  <w:style w:type="table" w:styleId="TableGrid">
    <w:name w:val="Table Grid"/>
    <w:qFormat/>
    <w:rsid w:val="00A31D79"/>
    <w:pPr>
      <w:spacing w:after="0"/>
    </w:pPr>
    <w:rPr>
      <w:rFonts w:ascii="Times New Roman" w:eastAsia="SimSun" w:hAnsi="Times New Roman" w:cs="Times New Roman" w:hint="eastAsia"/>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0" w:type="dxa"/>
        <w:bottom w:w="0" w:type="dxa"/>
        <w:right w:w="100" w:type="dxa"/>
      </w:tblCellMar>
    </w:tblPr>
    <w:tcPr>
      <w:tcBorders>
        <w:top w:val="single" w:sz="2" w:space="0" w:color="auto"/>
        <w:left w:val="single" w:sz="2" w:space="0" w:color="auto"/>
        <w:bottom w:val="single" w:sz="2" w:space="0" w:color="auto"/>
        <w:right w:val="single" w:sz="2" w:space="0" w:color="auto"/>
      </w:tcBorders>
    </w:tcPr>
  </w:style>
  <w:style w:type="table" w:customStyle="1" w:styleId="TableNormal1">
    <w:name w:val="Table Normal1"/>
    <w:uiPriority w:val="2"/>
    <w:semiHidden/>
    <w:unhideWhenUsed/>
    <w:qFormat/>
    <w:rsid w:val="00A31D79"/>
    <w:rPr>
      <w:rFonts w:ascii="Times New Roman" w:eastAsia="SimSun" w:hAnsi="Times New Roman" w:cs="Times New Roman"/>
      <w:sz w:val="20"/>
      <w:szCs w:val="20"/>
      <w:lang w:eastAsia="id-ID"/>
    </w:rPr>
    <w:tblPr>
      <w:tblCellMar>
        <w:top w:w="0" w:type="dxa"/>
        <w:left w:w="0" w:type="dxa"/>
        <w:bottom w:w="0" w:type="dxa"/>
        <w:right w:w="0" w:type="dxa"/>
      </w:tblCellMar>
    </w:tblPr>
  </w:style>
  <w:style w:type="paragraph" w:styleId="ListParagraph">
    <w:name w:val="List Paragraph"/>
    <w:basedOn w:val="Normal"/>
    <w:uiPriority w:val="1"/>
    <w:qFormat/>
    <w:rsid w:val="00A31D79"/>
    <w:pPr>
      <w:ind w:left="940" w:hanging="360"/>
    </w:pPr>
  </w:style>
  <w:style w:type="paragraph" w:customStyle="1" w:styleId="TableParagraph">
    <w:name w:val="Table Paragraph"/>
    <w:basedOn w:val="Normal"/>
    <w:uiPriority w:val="1"/>
    <w:qFormat/>
    <w:rsid w:val="00A31D79"/>
    <w:pPr>
      <w:ind w:left="107"/>
    </w:pPr>
  </w:style>
  <w:style w:type="paragraph" w:styleId="Subtitle">
    <w:name w:val="Subtitle"/>
    <w:basedOn w:val="Normal"/>
    <w:next w:val="Normal"/>
    <w:link w:val="SubtitleChar"/>
    <w:qFormat/>
    <w:rsid w:val="00A31D79"/>
    <w:pPr>
      <w:widowControl/>
      <w:autoSpaceDE/>
      <w:autoSpaceDN/>
      <w:spacing w:before="480" w:after="360" w:line="360" w:lineRule="auto"/>
      <w:jc w:val="center"/>
      <w:outlineLvl w:val="1"/>
    </w:pPr>
    <w:rPr>
      <w:b/>
      <w:caps/>
      <w:sz w:val="28"/>
      <w:szCs w:val="24"/>
      <w:lang w:val="en-GB" w:eastAsia="en-US" w:bidi="ar-SA"/>
    </w:rPr>
  </w:style>
  <w:style w:type="character" w:customStyle="1" w:styleId="SubtitleChar">
    <w:name w:val="Subtitle Char"/>
    <w:basedOn w:val="DefaultParagraphFont"/>
    <w:link w:val="Subtitle"/>
    <w:rsid w:val="00A31D79"/>
    <w:rPr>
      <w:rFonts w:ascii="Times New Roman" w:eastAsia="Times New Roman" w:hAnsi="Times New Roman" w:cs="Times New Roman"/>
      <w:b/>
      <w:caps/>
      <w:sz w:val="28"/>
      <w:szCs w:val="24"/>
      <w:lang w:val="en-GB"/>
    </w:rPr>
  </w:style>
  <w:style w:type="paragraph" w:customStyle="1" w:styleId="Heading1Left0cm">
    <w:name w:val="Heading 1 + Left:  0 cm"/>
    <w:aliases w:val="First line:  0 cm"/>
    <w:basedOn w:val="Normal"/>
    <w:rsid w:val="00A31D79"/>
    <w:pPr>
      <w:widowControl/>
      <w:autoSpaceDE/>
      <w:autoSpaceDN/>
      <w:spacing w:before="120" w:line="360" w:lineRule="auto"/>
      <w:jc w:val="center"/>
    </w:pPr>
    <w:rPr>
      <w:b/>
      <w:sz w:val="28"/>
      <w:szCs w:val="28"/>
      <w:lang w:val="de-D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E8218156C94FC7BF60AC97AAD2834C"/>
        <w:category>
          <w:name w:val="General"/>
          <w:gallery w:val="placeholder"/>
        </w:category>
        <w:types>
          <w:type w:val="bbPlcHdr"/>
        </w:types>
        <w:behaviors>
          <w:behavior w:val="content"/>
        </w:behaviors>
        <w:guid w:val="{FF92735B-5B6B-4AC2-A505-6C73036E916E}"/>
      </w:docPartPr>
      <w:docPartBody>
        <w:p w:rsidR="00AE7587" w:rsidRDefault="00743079" w:rsidP="00743079">
          <w:pPr>
            <w:pStyle w:val="81E8218156C94FC7BF60AC97AAD2834C"/>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79"/>
    <w:rsid w:val="00743079"/>
    <w:rsid w:val="00AE758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E8218156C94FC7BF60AC97AAD2834C">
    <w:name w:val="81E8218156C94FC7BF60AC97AAD2834C"/>
    <w:rsid w:val="007430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16</Pages>
  <Words>3391</Words>
  <Characters>19335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Bab 2 Tinjauan Pustaka</vt:lpstr>
    </vt:vector>
  </TitlesOfParts>
  <Company/>
  <LinksUpToDate>false</LinksUpToDate>
  <CharactersWithSpaces>22681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2 Tinjauan Pustaka</dc:title>
  <dc:subject/>
  <dc:creator>Windows User</dc:creator>
  <cp:keywords/>
  <dc:description/>
  <cp:lastModifiedBy>Windows User</cp:lastModifiedBy>
  <cp:revision>11</cp:revision>
  <dcterms:created xsi:type="dcterms:W3CDTF">2019-09-01T13:19:00Z</dcterms:created>
  <dcterms:modified xsi:type="dcterms:W3CDTF">2019-09-02T02:08:00Z</dcterms:modified>
</cp:coreProperties>
</file>