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22222"/>
          <w:lang w:val="en" w:eastAsia="zh-CN"/>
        </w:rPr>
      </w:pPr>
      <w:r>
        <w:rPr>
          <w:b/>
          <w:color w:val="222222"/>
          <w:lang w:val="en" w:eastAsia="zh-CN"/>
        </w:rPr>
        <w:t>IMPACT, IMPLEMENTATION AND UTILIZATION OF PARIS AGREEMENTS FOR THE ENERGY SECTOR IN INDONESIA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222222"/>
          <w:lang w:val="en" w:eastAsia="zh-CN"/>
        </w:rPr>
      </w:pPr>
    </w:p>
    <w:p>
      <w:pPr>
        <w:spacing w:line="276" w:lineRule="auto"/>
        <w:ind w:left="220" w:right="223"/>
        <w:jc w:val="center"/>
        <w:rPr>
          <w:lang w:val="ca-ES" w:eastAsia="ca-ES" w:bidi="ca-ES"/>
        </w:rPr>
      </w:pPr>
      <w:r>
        <w:rPr>
          <w:color w:val="222222"/>
          <w:lang w:val="en" w:eastAsia="zh-CN" w:bidi="ca-ES"/>
        </w:rPr>
        <w:t>Dr. Erwin Sadirsan</w:t>
      </w:r>
      <w:r>
        <w:rPr>
          <w:color w:val="222222"/>
          <w:vertAlign w:val="superscript"/>
          <w:lang w:val="en" w:eastAsia="zh-CN" w:bidi="ca-ES"/>
        </w:rPr>
        <w:t>1</w:t>
      </w:r>
      <w:r>
        <w:rPr>
          <w:color w:val="222222"/>
          <w:lang w:val="en" w:eastAsia="zh-CN" w:bidi="ca-ES"/>
        </w:rPr>
        <w:t>, Ir.Ratna Ariati, MSc.</w:t>
      </w:r>
      <w:r>
        <w:rPr>
          <w:color w:val="222222"/>
          <w:vertAlign w:val="superscript"/>
          <w:lang w:val="en" w:eastAsia="zh-CN" w:bidi="ca-ES"/>
        </w:rPr>
        <w:t>2</w:t>
      </w:r>
      <w:r>
        <w:rPr>
          <w:color w:val="222222"/>
          <w:lang w:val="en" w:eastAsia="zh-CN" w:bidi="ca-ES"/>
        </w:rPr>
        <w:t>, Ir.Riki F Ibrahim, MSc</w:t>
      </w:r>
      <w:r>
        <w:rPr>
          <w:color w:val="222222"/>
          <w:vertAlign w:val="superscript"/>
          <w:lang w:val="en" w:eastAsia="zh-CN" w:bidi="ca-ES"/>
        </w:rPr>
        <w:t>3</w:t>
      </w:r>
      <w:r>
        <w:rPr>
          <w:color w:val="222222"/>
          <w:lang w:val="en" w:eastAsia="zh-CN" w:bidi="ca-ES"/>
        </w:rPr>
        <w:t>,</w:t>
      </w:r>
      <w:r>
        <w:rPr>
          <w:color w:val="222222"/>
          <w:lang w:val="en" w:eastAsia="zh-CN"/>
        </w:rPr>
        <w:t xml:space="preserve"> Aprillia Ika Warsanti</w:t>
      </w:r>
      <w:r>
        <w:rPr>
          <w:color w:val="222222"/>
          <w:vertAlign w:val="superscript"/>
          <w:lang w:val="en" w:eastAsia="zh-CN" w:bidi="ca-ES"/>
        </w:rPr>
        <w:t>4</w:t>
      </w:r>
      <w:r>
        <w:rPr>
          <w:lang w:val="ca-ES" w:eastAsia="ca-ES" w:bidi="ca-ES"/>
        </w:rPr>
        <w:t xml:space="preserve"> , Mila Viendyasari. S.Sos, M.Si</w:t>
      </w:r>
      <w:r>
        <w:rPr>
          <w:color w:val="222222"/>
          <w:vertAlign w:val="superscript"/>
          <w:lang w:val="en" w:eastAsia="zh-CN" w:bidi="ca-ES"/>
        </w:rPr>
        <w:t>5</w:t>
      </w:r>
    </w:p>
    <w:p>
      <w:pPr>
        <w:jc w:val="center"/>
        <w:rPr>
          <w:rFonts w:eastAsia="Times New Roman"/>
        </w:rPr>
      </w:pPr>
      <w:r>
        <w:rPr>
          <w:color w:val="222222"/>
          <w:vertAlign w:val="superscript"/>
          <w:lang w:val="en" w:eastAsia="zh-CN" w:bidi="ca-ES"/>
        </w:rPr>
        <w:t>1-4</w:t>
      </w:r>
      <w:r>
        <w:rPr>
          <w:lang w:val="ca-ES" w:eastAsia="ca-ES" w:bidi="ca-ES"/>
        </w:rPr>
        <w:t xml:space="preserve">Master Program, </w:t>
      </w:r>
      <w:r>
        <w:rPr>
          <w:rFonts w:eastAsia="Times New Roman"/>
        </w:rPr>
        <w:t>Faculty of Engineering, U</w:t>
      </w:r>
      <w:r>
        <w:rPr>
          <w:lang w:val="ca-ES" w:eastAsia="ca-ES" w:bidi="ca-ES"/>
        </w:rPr>
        <w:t xml:space="preserve">niversitas Darma Persada, </w:t>
      </w:r>
      <w:r>
        <w:rPr>
          <w:rFonts w:eastAsia="Times New Roman"/>
          <w:color w:val="222222"/>
          <w:shd w:val="clear" w:color="auto" w:fill="FFFFFF"/>
        </w:rPr>
        <w:t xml:space="preserve">Jakarta 13450 </w:t>
      </w:r>
      <w:r>
        <w:rPr>
          <w:rFonts w:eastAsia="Times New Roman"/>
        </w:rPr>
        <w:t xml:space="preserve">–Indonesia, </w:t>
      </w:r>
      <w:r>
        <w:fldChar w:fldCharType="begin"/>
      </w:r>
      <w:r>
        <w:instrText xml:space="preserve"> HYPERLINK "mailto:erwinss2019@gmail.com" </w:instrText>
      </w:r>
      <w:r>
        <w:fldChar w:fldCharType="separate"/>
      </w:r>
      <w:r>
        <w:rPr>
          <w:rStyle w:val="5"/>
          <w:lang w:val="ca-ES" w:eastAsia="ca-ES" w:bidi="ca-ES"/>
        </w:rPr>
        <w:t>erwinss2019@gmail.com</w:t>
      </w:r>
      <w:r>
        <w:rPr>
          <w:rStyle w:val="5"/>
          <w:lang w:val="ca-ES" w:eastAsia="ca-ES" w:bidi="ca-ES"/>
        </w:rPr>
        <w:fldChar w:fldCharType="end"/>
      </w:r>
    </w:p>
    <w:p>
      <w:pPr>
        <w:jc w:val="center"/>
        <w:rPr>
          <w:rFonts w:eastAsia="Times New Roman"/>
        </w:rPr>
      </w:pPr>
      <w:r>
        <w:rPr>
          <w:color w:val="222222"/>
          <w:vertAlign w:val="superscript"/>
          <w:lang w:val="en" w:eastAsia="zh-CN" w:bidi="ca-ES"/>
        </w:rPr>
        <w:t>5</w:t>
      </w:r>
      <w:r>
        <w:rPr>
          <w:lang w:val="ca-ES" w:eastAsia="ca-ES" w:bidi="ca-ES"/>
        </w:rPr>
        <w:t>Vocational Program, Universitas Indonesia,</w:t>
      </w:r>
      <w:r>
        <w:rPr>
          <w:rFonts w:eastAsia="Times New Roman"/>
        </w:rPr>
        <w:t xml:space="preserve"> Depok 16424, Indonesia, </w:t>
      </w:r>
      <w:r>
        <w:rPr>
          <w:lang w:val="ca-ES" w:eastAsia="ca-ES" w:bidi="ca-ES"/>
        </w:rPr>
        <w:t>viendyasari.vokasi@gmail.com</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22222"/>
          <w:lang w:val="en" w:eastAsia="zh-CN"/>
        </w:rPr>
      </w:pPr>
      <w:r>
        <w:rPr>
          <w:b/>
          <w:color w:val="222222"/>
          <w:lang w:val="en" w:eastAsia="zh-CN"/>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This study aims to determine the impact of the ratification of the Paris Agreement on Indonesia. Then want to see the extent of the implementation or implementation carried out to achieve the GHG emission reduction target in the NDC. And, seeing the utilization of the ratification of the Paris Agreement for the development of the energy sector in Indonesia. Thus, it will be illustrated how Indonesia's readiness is facing the Paris Agreement in 2020.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In this thesis, there are a number of obstacles for Indonesia to achieve the NDC target as well as the future solutions. Paris Agreement or Paris Agreement is an agreement in the United Nations Framework Convention on Climate Change (UNFCCC) or Framework of the United Nations Convention on Climate Change. The Paris Agreement draft was agreed at the 21st Conference of the Parties (COP) in Paris, France, on November 30-December 12, 2015. In Paris Agreement, countries in it committed to mitigating emissions by reducing House Gas Glass (GHG), conducting adaptation and financing related to climate change mitigation, starts in 2020. Indonesia is also committed to Paris Agreement by submitting Intended Nationally Determined Contribution (INDC) documents. Indonesia then ratified the Paris Agreement by issuing Law No. 16 of 2016 concerning Ratification of the Paris Agreement to the United Nations Framework Convention on Climate Change dated October 24, 2016. This ratification was carried out before the 22nd COP was held in Marrakech, Morocco, on November 7-18 2016 Paris Agreement contains a global agreement to keep the earth's temperature below 2 degrees Celsius and a global commitment to reduce greenhouse gas (GHG) emissions in order to maintain the earth's temperature. By ratifying the Paris Agreement, Indonesia then replaces the INDC document with the Nationally Determined Contribution (NDC) document to the UNFCCC secretariat. The NDC Indonesia contains a commitment to reduce GHG emissions by 29 percent by 2030 by self-employment, and up to 41 percent with international assistance. While for GHG reduction, Indonesia has committed to implementing it since ratifying the Kyoto Protocol which was an agreement at the 3rd COP in Kyoto, Japan, in 1997. The GHG emission reduction commitment is stated in Presidential Regulation No. 61/2011 concerning National GHG Action Plans (RAN-GRK ) dated October 28, 2011. In the RAN GRK there is a policy framework for the central and regional governments as well as for businesses, communities and other stakeholders to reduce GHG emissions by 26 percent from 2010 to 2020 (before the Paris Agreement comes into force), or 41 percent with international assistance.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bookmarkStart w:id="0" w:name="_GoBack"/>
      <w:bookmarkEnd w:id="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Keywords</w:t>
      </w:r>
    </w:p>
    <w:p>
      <w:pPr>
        <w:spacing w:line="276" w:lineRule="auto"/>
        <w:jc w:val="both"/>
      </w:pPr>
      <w:r>
        <w:rPr>
          <w:color w:val="222222"/>
          <w:lang w:val="en" w:eastAsia="zh-CN"/>
        </w:rPr>
        <w:t>Paris Agreement, Paris Agreement, Greenhouse Gas (GHG), climate change mitigation, RAN-GRK, NDC, emission reduction, carbon market, energy conservation, RUEN, National Energy Policy (KEN), regulation, energy policy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pStyle w:val="3"/>
        <w:numPr>
          <w:ilvl w:val="0"/>
          <w:numId w:val="1"/>
        </w:numPr>
        <w:spacing w:beforeAutospacing="0" w:afterAutospacing="0" w:line="276" w:lineRule="auto"/>
        <w:jc w:val="both"/>
        <w:rPr>
          <w:rFonts w:ascii="Times New Roman" w:hAnsi="Times New Roman"/>
          <w:b/>
          <w:color w:val="222222"/>
          <w:sz w:val="24"/>
          <w:szCs w:val="24"/>
          <w:lang w:val="en"/>
        </w:rPr>
      </w:pPr>
      <w:r>
        <w:rPr>
          <w:rFonts w:ascii="Times New Roman" w:hAnsi="Times New Roman"/>
          <w:b/>
          <w:color w:val="222222"/>
          <w:sz w:val="24"/>
          <w:szCs w:val="24"/>
          <w:lang w:val="en"/>
        </w:rPr>
        <w:t xml:space="preserve">INTRODUCTION </w:t>
      </w:r>
    </w:p>
    <w:p>
      <w:pPr>
        <w:pStyle w:val="3"/>
        <w:spacing w:beforeAutospacing="0" w:afterAutospacing="0" w:line="276" w:lineRule="auto"/>
        <w:jc w:val="both"/>
        <w:rPr>
          <w:rFonts w:ascii="Times New Roman" w:hAnsi="Times New Roman"/>
          <w:color w:val="222222"/>
          <w:sz w:val="24"/>
          <w:szCs w:val="24"/>
          <w:lang w:val="en"/>
        </w:rPr>
      </w:pPr>
      <w:r>
        <w:rPr>
          <w:rFonts w:ascii="Times New Roman" w:hAnsi="Times New Roman"/>
          <w:color w:val="222222"/>
          <w:sz w:val="24"/>
          <w:szCs w:val="24"/>
          <w:lang w:val="en"/>
        </w:rPr>
        <w:t>Indonesia as one of the developing countries in the world also highlights the changes in the global environment that occur, especially on the impact of climate change on the economy, social and environment in this island nation. Indonesia has played an active role in the global climate change convention since the Earth Summit in Rio de Janeiro, Brazil, in 1992. Finally, Indonesia also took part in the birth of the Paris Agreement at the 21st Conference of Parties (COP) in Paris, France, in 2015. The Paris Agreement was approved by 195 countries in the world. Thus, the focus of the Indonesian government in addressing global environmental change is now directed to the Paris Agreement. Evidence of Indonesia's seriousness namely in 2016 Indonesia ratified the Paris Agreement, precisely before the holding of the 22nd COP climate change conference in Marrakech, Morocco, in 2016.</w:t>
      </w:r>
    </w:p>
    <w:p>
      <w:pPr>
        <w:pStyle w:val="3"/>
        <w:spacing w:beforeAutospacing="0" w:afterAutospacing="0" w:line="276" w:lineRule="auto"/>
        <w:jc w:val="both"/>
        <w:rPr>
          <w:rFonts w:ascii="Times New Roman" w:hAnsi="Times New Roman"/>
          <w:color w:val="222222"/>
          <w:sz w:val="24"/>
          <w:szCs w:val="24"/>
          <w:lang w:val="en"/>
        </w:rPr>
      </w:pPr>
    </w:p>
    <w:p>
      <w:pPr>
        <w:pStyle w:val="3"/>
        <w:spacing w:beforeAutospacing="0" w:afterAutospacing="0" w:line="276" w:lineRule="auto"/>
        <w:jc w:val="both"/>
        <w:rPr>
          <w:rFonts w:ascii="Times New Roman" w:hAnsi="Times New Roman"/>
          <w:color w:val="222222"/>
          <w:sz w:val="24"/>
          <w:szCs w:val="24"/>
          <w:lang w:val="en"/>
        </w:rPr>
      </w:pPr>
      <w:r>
        <w:rPr>
          <w:rFonts w:ascii="Times New Roman" w:hAnsi="Times New Roman"/>
          <w:color w:val="222222"/>
          <w:sz w:val="24"/>
          <w:szCs w:val="24"/>
          <w:lang w:val="en"/>
        </w:rPr>
        <w:t>The Paris Agreement has a five-point essence of agreement that must be carried out by the countries that ratify it. First, climate change mitigation efforts by reducing greenhouse gas emissions to reach the threshold of increasing the earth's temperature below 2 degrees Celsius. Second, a transparent carbon accounting system and GHG emission reduction. Third, adaptation efforts by strengthening the ability of countries to overcome the effects of climate change. Fourth, strengthen recovery efforts due to loss or damage due to climate change. Fifth, assistance from developed countries in the form of funding to build a green and sustainable economy.</w:t>
      </w:r>
    </w:p>
    <w:p>
      <w:pPr>
        <w:pStyle w:val="3"/>
        <w:spacing w:beforeAutospacing="0" w:afterAutospacing="0" w:line="276" w:lineRule="auto"/>
        <w:jc w:val="both"/>
        <w:rPr>
          <w:rFonts w:ascii="Times New Roman" w:hAnsi="Times New Roman"/>
          <w:color w:val="222222"/>
          <w:sz w:val="24"/>
          <w:szCs w:val="24"/>
          <w:lang w:val="en"/>
        </w:rPr>
      </w:pPr>
    </w:p>
    <w:p>
      <w:pPr>
        <w:pStyle w:val="3"/>
        <w:spacing w:beforeAutospacing="0" w:afterAutospacing="0" w:line="276" w:lineRule="auto"/>
        <w:jc w:val="both"/>
        <w:rPr>
          <w:rFonts w:ascii="Times New Roman" w:hAnsi="Times New Roman"/>
          <w:color w:val="222222"/>
          <w:sz w:val="24"/>
          <w:szCs w:val="24"/>
          <w:lang w:val="en"/>
        </w:rPr>
      </w:pPr>
      <w:r>
        <w:rPr>
          <w:rFonts w:ascii="Times New Roman" w:hAnsi="Times New Roman"/>
          <w:color w:val="222222"/>
          <w:sz w:val="24"/>
          <w:szCs w:val="24"/>
          <w:lang w:val="en"/>
        </w:rPr>
        <w:t>Indonesia which is committed to the Paris Agreement must make an Intended Nationally Determined Contributions / INDC to reduce the GHG effect. The INDC was then changed to Nationally Determined Contributions (NDC) before the 22nd COP. In the NDC, Indonesia targets a reduction of 29 percent GHG by 2030, and an additional reduction of up to 12 percent if there is outside assistance. To meet the Paris Agreement's target, Indonesia's total emissions must decrease to 1.65 GtCO2eq for 1.8 degrees Celsius and 1.37 GtCO2eq to 1.5 degrees Celsius by 2030.</w:t>
      </w:r>
    </w:p>
    <w:p>
      <w:pPr>
        <w:pStyle w:val="3"/>
        <w:spacing w:beforeAutospacing="0" w:afterAutospacing="0" w:line="276" w:lineRule="auto"/>
        <w:jc w:val="both"/>
        <w:rPr>
          <w:rFonts w:ascii="Times New Roman" w:hAnsi="Times New Roman"/>
          <w:color w:val="222222"/>
          <w:sz w:val="24"/>
          <w:szCs w:val="24"/>
          <w:lang w:val="en"/>
        </w:rPr>
      </w:pPr>
    </w:p>
    <w:p>
      <w:pPr>
        <w:pStyle w:val="3"/>
        <w:spacing w:beforeAutospacing="0" w:afterAutospacing="0" w:line="276" w:lineRule="auto"/>
        <w:jc w:val="both"/>
        <w:rPr>
          <w:rFonts w:ascii="Times New Roman" w:hAnsi="Times New Roman"/>
          <w:color w:val="222222"/>
          <w:sz w:val="24"/>
          <w:szCs w:val="24"/>
          <w:lang w:val="en" w:eastAsia="zh-CN"/>
        </w:rPr>
      </w:pPr>
      <w:r>
        <w:rPr>
          <w:rFonts w:ascii="Times New Roman" w:hAnsi="Times New Roman"/>
          <w:color w:val="222222"/>
          <w:sz w:val="24"/>
          <w:szCs w:val="24"/>
          <w:lang w:val="en"/>
        </w:rPr>
        <w:t>This target will of course have its own impact on the Indonesian government and all relevant stakeholders in an effort to meet these targets. Especially, its capacity to adapt the contents and targets of the Paris Agreement. For this reason, it is necessary to know what the impact of the ratification of the Paris Agreement on Indonesia is. The extent to which implementation or implementation is carried out to achieve GHG emission reduction targets in the NDC. And, seeing the utilization of the ratification of the Paris Agreement for the development of the energy sector in Indonesia. Thus, it will be illustrated how Indonesia's readiness is facing the Paris Agreement</w:t>
      </w:r>
      <w:r>
        <w:rPr>
          <w:rFonts w:ascii="Times New Roman" w:hAnsi="Times New Roman"/>
          <w:color w:val="222222"/>
          <w:sz w:val="24"/>
          <w:szCs w:val="24"/>
          <w:lang w:val="en" w:eastAsia="zh-CN"/>
        </w:rPr>
        <w:t xml:space="preserve"> in 2020.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pStyle w:val="1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222222"/>
          <w:lang w:val="en" w:eastAsia="zh-CN"/>
        </w:rPr>
      </w:pPr>
      <w:r>
        <w:rPr>
          <w:b/>
          <w:color w:val="222222"/>
          <w:lang w:val="en" w:eastAsia="zh-CN"/>
        </w:rPr>
        <w:t>METHOD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For data collection on qualitative methods, namely using literature review and open interviews on primary resource persons from three pillars, namely regulators and DPR, practitioners, NGOs.</w:t>
      </w:r>
    </w:p>
    <w:p>
      <w:pPr>
        <w:pStyle w:val="1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Resource persons interviewed for regulators namely the Ministry of Environment and Forestry (KLHK), Ministry of Energy and Mineral Resources (ESDM). The interviewee for the legislature is from the DPR RI.</w:t>
      </w:r>
    </w:p>
    <w:p>
      <w:pPr>
        <w:pStyle w:val="1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While resource persons for practitioners are from the Indonesian Chamber of Commerce (Kadin), as well as the Indonesian Renewable Energy Society (METI).</w:t>
      </w:r>
    </w:p>
    <w:p>
      <w:pPr>
        <w:pStyle w:val="1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NGO resource person, namely IESR and the results of the seminar.</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The interview data will be processed using an ordinal scale to eliminate the subjectivity of the resource person. So the results or initial hypotheses obtained will be more valid.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This ordinal scale is a scale to break down the response category after the interview phase. This scale is used to measure subjective judgment. The assessment is with two points of scale and five points of scale (Willem E Saris).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For the measurement scale in this study will use the target achievement scale: not achieved, maybe achieved, partially achieved, achieved beyond the target.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For processing the results of interviews, interviews were conducted directly with four resource persons. While nine other resource persons were met at the seminar. In direct interviews, resource persons will be asked how the impact of Paris Agreement and its implementation so far, what are the inhibiting factors for achieving the target, what is the solution so that the target is achieved. While the speakers at the seminar also answered the three main questions asked.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After the interview, the resource persons are grouped according to regulator groups, experts and practitioners, as well as NGOs. Then from each resource person, given the scale of Indonesia's readiness to reach NDC targets in the Paris Agreement, barriers and solutions. Weighting scale starts from 10-100. Then, the weighting value is combined and done averaged to get the exact scale.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pStyle w:val="1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RESULT AND DISCUSSION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spacing w:line="276" w:lineRule="auto"/>
        <w:jc w:val="both"/>
        <w:rPr>
          <w:bCs/>
        </w:rPr>
      </w:pPr>
      <w:r>
        <w:rPr>
          <w:bCs/>
        </w:rPr>
        <w:t>Based on the collected interview data, there are six inhibitory factors for Indonesia in achieving the NDC target of the Paris Agreement. They are regulation, political condition, technology, funding, measurement of emission reduction, and education as stated in the table below:</w:t>
      </w:r>
    </w:p>
    <w:p>
      <w:pPr>
        <w:spacing w:line="276" w:lineRule="auto"/>
        <w:jc w:val="both"/>
        <w:rPr>
          <w:bCs/>
        </w:rPr>
      </w:pPr>
    </w:p>
    <w:p>
      <w:pPr>
        <w:spacing w:line="276" w:lineRule="auto"/>
        <w:jc w:val="both"/>
        <w:rPr>
          <w:bCs/>
        </w:rPr>
      </w:pPr>
    </w:p>
    <w:p>
      <w:pPr>
        <w:spacing w:line="276" w:lineRule="auto"/>
        <w:jc w:val="both"/>
        <w:rPr>
          <w:bCs/>
        </w:rPr>
      </w:pPr>
    </w:p>
    <w:p>
      <w:pPr>
        <w:spacing w:line="276" w:lineRule="auto"/>
        <w:jc w:val="both"/>
        <w:rPr>
          <w:bCs/>
        </w:rPr>
      </w:pPr>
    </w:p>
    <w:p>
      <w:pPr>
        <w:spacing w:line="276" w:lineRule="auto"/>
        <w:jc w:val="both"/>
        <w:rPr>
          <w:bCs/>
        </w:rPr>
      </w:pPr>
    </w:p>
    <w:tbl>
      <w:tblPr>
        <w:tblStyle w:val="6"/>
        <w:tblW w:w="43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271"/>
        <w:gridCol w:w="54"/>
        <w:gridCol w:w="1530"/>
        <w:gridCol w:w="124"/>
        <w:gridCol w:w="13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345" w:type="dxa"/>
            <w:gridSpan w:val="5"/>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b/>
                <w:bCs/>
                <w:sz w:val="18"/>
                <w:szCs w:val="18"/>
                <w:lang w:eastAsia="zh-CN" w:bidi="ar"/>
              </w:rPr>
              <w:t>The Readiness Inhibitory Factors for Indonesia in Achieving the Target of the Paris Agreement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530" w:type="dxa"/>
            <w:shd w:val="clear" w:color="auto" w:fill="auto"/>
            <w:tcMar>
              <w:top w:w="15" w:type="dxa"/>
              <w:left w:w="15" w:type="dxa"/>
              <w:right w:w="15" w:type="dxa"/>
            </w:tcMar>
            <w:vAlign w:val="bottom"/>
          </w:tcPr>
          <w:p>
            <w:pPr>
              <w:spacing w:line="276" w:lineRule="auto"/>
              <w:jc w:val="both"/>
              <w:rPr>
                <w:sz w:val="18"/>
                <w:szCs w:val="18"/>
              </w:rPr>
            </w:pPr>
          </w:p>
        </w:tc>
        <w:tc>
          <w:tcPr>
            <w:tcW w:w="124" w:type="dxa"/>
            <w:shd w:val="clear" w:color="auto" w:fill="auto"/>
            <w:tcMar>
              <w:top w:w="15" w:type="dxa"/>
              <w:left w:w="15" w:type="dxa"/>
              <w:right w:w="15" w:type="dxa"/>
            </w:tcMar>
            <w:vAlign w:val="bottom"/>
          </w:tcPr>
          <w:p>
            <w:pPr>
              <w:spacing w:line="276" w:lineRule="auto"/>
              <w:jc w:val="both"/>
              <w:rPr>
                <w:sz w:val="18"/>
                <w:szCs w:val="18"/>
              </w:rPr>
            </w:pP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textAlignment w:val="bottom"/>
              <w:rPr>
                <w:b/>
                <w:bCs/>
                <w:sz w:val="18"/>
                <w:szCs w:val="18"/>
              </w:rPr>
            </w:pPr>
            <w:r>
              <w:rPr>
                <w:rFonts w:eastAsia="SimSun"/>
                <w:b/>
                <w:bCs/>
                <w:sz w:val="18"/>
                <w:szCs w:val="18"/>
                <w:lang w:eastAsia="zh-CN" w:bidi="ar"/>
              </w:rPr>
              <w:t>Categories</w:t>
            </w:r>
          </w:p>
        </w:tc>
        <w:tc>
          <w:tcPr>
            <w:tcW w:w="54" w:type="dxa"/>
            <w:shd w:val="clear" w:color="auto" w:fill="auto"/>
            <w:tcMar>
              <w:top w:w="15" w:type="dxa"/>
              <w:left w:w="15" w:type="dxa"/>
              <w:right w:w="15" w:type="dxa"/>
            </w:tcMar>
            <w:vAlign w:val="bottom"/>
          </w:tcPr>
          <w:p>
            <w:pPr>
              <w:spacing w:line="276" w:lineRule="auto"/>
              <w:jc w:val="both"/>
              <w:rPr>
                <w:b/>
                <w:bCs/>
                <w:sz w:val="18"/>
                <w:szCs w:val="18"/>
              </w:rPr>
            </w:pPr>
          </w:p>
        </w:tc>
        <w:tc>
          <w:tcPr>
            <w:tcW w:w="1654" w:type="dxa"/>
            <w:gridSpan w:val="2"/>
            <w:shd w:val="clear" w:color="auto" w:fill="auto"/>
            <w:tcMar>
              <w:top w:w="15" w:type="dxa"/>
              <w:left w:w="15" w:type="dxa"/>
              <w:right w:w="15" w:type="dxa"/>
            </w:tcMar>
            <w:vAlign w:val="bottom"/>
          </w:tcPr>
          <w:p>
            <w:pPr>
              <w:spacing w:line="276" w:lineRule="auto"/>
              <w:jc w:val="both"/>
              <w:textAlignment w:val="bottom"/>
              <w:rPr>
                <w:b/>
                <w:bCs/>
                <w:sz w:val="18"/>
                <w:szCs w:val="18"/>
              </w:rPr>
            </w:pPr>
            <w:r>
              <w:rPr>
                <w:rFonts w:eastAsia="SimSun"/>
                <w:b/>
                <w:bCs/>
                <w:sz w:val="18"/>
                <w:szCs w:val="18"/>
                <w:lang w:eastAsia="zh-CN" w:bidi="ar"/>
              </w:rPr>
              <w:t>Inhibitor</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textAlignment w:val="bottom"/>
              <w:rPr>
                <w:b/>
                <w:i/>
                <w:sz w:val="18"/>
                <w:szCs w:val="18"/>
              </w:rPr>
            </w:pPr>
            <w:r>
              <w:rPr>
                <w:rFonts w:eastAsia="SimSun"/>
                <w:b/>
                <w:i/>
                <w:sz w:val="18"/>
                <w:szCs w:val="18"/>
                <w:lang w:eastAsia="zh-CN" w:bidi="ar"/>
              </w:rPr>
              <w:t>Regulation</w:t>
            </w: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regulatory inconsistencies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Rules that hinder EBT investment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taxes and incentives</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EBT subsidies</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530" w:type="dxa"/>
            <w:shd w:val="clear" w:color="auto" w:fill="auto"/>
            <w:tcMar>
              <w:top w:w="15" w:type="dxa"/>
              <w:left w:w="15" w:type="dxa"/>
              <w:right w:w="15" w:type="dxa"/>
            </w:tcMar>
            <w:vAlign w:val="bottom"/>
          </w:tcPr>
          <w:p>
            <w:pPr>
              <w:spacing w:line="276" w:lineRule="auto"/>
              <w:jc w:val="both"/>
              <w:rPr>
                <w:sz w:val="18"/>
                <w:szCs w:val="18"/>
              </w:rPr>
            </w:pPr>
          </w:p>
        </w:tc>
        <w:tc>
          <w:tcPr>
            <w:tcW w:w="124" w:type="dxa"/>
            <w:shd w:val="clear" w:color="auto" w:fill="auto"/>
            <w:tcMar>
              <w:top w:w="15" w:type="dxa"/>
              <w:left w:w="15" w:type="dxa"/>
              <w:right w:w="15" w:type="dxa"/>
            </w:tcMar>
            <w:vAlign w:val="bottom"/>
          </w:tcPr>
          <w:p>
            <w:pPr>
              <w:spacing w:line="276" w:lineRule="auto"/>
              <w:jc w:val="both"/>
              <w:rPr>
                <w:sz w:val="18"/>
                <w:szCs w:val="18"/>
              </w:rPr>
            </w:pP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25" w:type="dxa"/>
            <w:gridSpan w:val="2"/>
            <w:shd w:val="clear" w:color="auto" w:fill="auto"/>
            <w:tcMar>
              <w:top w:w="15" w:type="dxa"/>
              <w:left w:w="15" w:type="dxa"/>
              <w:right w:w="15" w:type="dxa"/>
            </w:tcMar>
            <w:vAlign w:val="bottom"/>
          </w:tcPr>
          <w:p>
            <w:pPr>
              <w:spacing w:line="276" w:lineRule="auto"/>
              <w:jc w:val="both"/>
              <w:textAlignment w:val="bottom"/>
              <w:rPr>
                <w:b/>
                <w:i/>
                <w:sz w:val="18"/>
                <w:szCs w:val="18"/>
              </w:rPr>
            </w:pPr>
            <w:r>
              <w:rPr>
                <w:rFonts w:eastAsia="SimSun"/>
                <w:b/>
                <w:i/>
                <w:sz w:val="18"/>
                <w:szCs w:val="18"/>
                <w:lang w:eastAsia="zh-CN" w:bidi="ar"/>
              </w:rPr>
              <w:t xml:space="preserve">Political </w:t>
            </w: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Political situation</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b/>
                <w:i/>
                <w:sz w:val="18"/>
                <w:szCs w:val="18"/>
              </w:rPr>
            </w:pPr>
            <w:r>
              <w:rPr>
                <w:rFonts w:eastAsia="SimSun"/>
                <w:b/>
                <w:i/>
                <w:sz w:val="18"/>
                <w:szCs w:val="18"/>
                <w:lang w:eastAsia="zh-CN" w:bidi="ar"/>
              </w:rPr>
              <w:t>Condition</w:t>
            </w: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High energy subsidy</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Commitment of stakeholder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rFonts w:eastAsia="SimSun"/>
                <w:sz w:val="18"/>
                <w:szCs w:val="18"/>
                <w:lang w:eastAsia="zh-CN" w:bidi="ar"/>
              </w:rPr>
            </w:pPr>
            <w:r>
              <w:rPr>
                <w:rFonts w:eastAsia="SimSun"/>
                <w:sz w:val="18"/>
                <w:szCs w:val="18"/>
              </w:rPr>
              <w:t>Strong leadership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pStyle w:val="9"/>
              <w:spacing w:beforeAutospacing="0" w:afterAutospacing="0" w:line="276" w:lineRule="auto"/>
              <w:jc w:val="both"/>
              <w:rPr>
                <w:rFonts w:eastAsia="SimSun"/>
                <w:sz w:val="18"/>
                <w:szCs w:val="18"/>
                <w:lang w:val="en-US" w:eastAsia="zh-CN" w:bidi="ar"/>
              </w:rPr>
            </w:pPr>
            <w:r>
              <w:rPr>
                <w:rFonts w:eastAsia="SimSun"/>
                <w:sz w:val="18"/>
                <w:szCs w:val="18"/>
                <w:lang w:val="en-US" w:eastAsia="zh-CN" w:bidi="ar"/>
              </w:rPr>
              <w:t>low carbon economy</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25" w:type="dxa"/>
            <w:gridSpan w:val="2"/>
            <w:shd w:val="clear" w:color="auto" w:fill="auto"/>
            <w:tcMar>
              <w:top w:w="15" w:type="dxa"/>
              <w:left w:w="15" w:type="dxa"/>
              <w:right w:w="15" w:type="dxa"/>
            </w:tcMar>
            <w:vAlign w:val="bottom"/>
          </w:tcPr>
          <w:p>
            <w:pPr>
              <w:spacing w:line="276" w:lineRule="auto"/>
              <w:jc w:val="both"/>
              <w:textAlignment w:val="bottom"/>
              <w:rPr>
                <w:b/>
                <w:i/>
                <w:sz w:val="18"/>
                <w:szCs w:val="18"/>
              </w:rPr>
            </w:pPr>
            <w:r>
              <w:rPr>
                <w:rFonts w:eastAsia="SimSun"/>
                <w:b/>
                <w:i/>
                <w:sz w:val="18"/>
                <w:szCs w:val="18"/>
                <w:lang w:eastAsia="zh-CN" w:bidi="ar"/>
              </w:rPr>
              <w:t>Technology</w:t>
            </w:r>
          </w:p>
        </w:tc>
        <w:tc>
          <w:tcPr>
            <w:tcW w:w="3020" w:type="dxa"/>
            <w:gridSpan w:val="3"/>
            <w:shd w:val="clear" w:color="auto" w:fill="auto"/>
            <w:tcMar>
              <w:top w:w="15" w:type="dxa"/>
              <w:left w:w="15" w:type="dxa"/>
              <w:right w:w="15" w:type="dxa"/>
            </w:tcMar>
            <w:vAlign w:val="bottom"/>
          </w:tcPr>
          <w:p>
            <w:pPr>
              <w:spacing w:line="276" w:lineRule="auto"/>
              <w:jc w:val="both"/>
              <w:rPr>
                <w:sz w:val="18"/>
                <w:szCs w:val="18"/>
              </w:rPr>
            </w:pPr>
            <w:r>
              <w:rPr>
                <w:rFonts w:eastAsia="SimSun"/>
                <w:sz w:val="18"/>
                <w:szCs w:val="18"/>
                <w:lang w:eastAsia="zh-CN" w:bidi="ar"/>
              </w:rPr>
              <w:t>EBT investment is expensive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EBT price is lower than coal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rPr>
                <w:sz w:val="18"/>
                <w:szCs w:val="18"/>
              </w:rPr>
            </w:pPr>
            <w:r>
              <w:rPr>
                <w:rFonts w:eastAsia="SimSun"/>
                <w:sz w:val="18"/>
                <w:szCs w:val="18"/>
                <w:lang w:eastAsia="zh-CN" w:bidi="ar"/>
              </w:rPr>
              <w:t>EBT is intermittent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530" w:type="dxa"/>
            <w:shd w:val="clear" w:color="auto" w:fill="auto"/>
            <w:tcMar>
              <w:top w:w="15" w:type="dxa"/>
              <w:left w:w="15" w:type="dxa"/>
              <w:right w:w="15" w:type="dxa"/>
            </w:tcMar>
            <w:vAlign w:val="bottom"/>
          </w:tcPr>
          <w:p>
            <w:pPr>
              <w:spacing w:line="276" w:lineRule="auto"/>
              <w:jc w:val="both"/>
              <w:rPr>
                <w:sz w:val="18"/>
                <w:szCs w:val="18"/>
              </w:rPr>
            </w:pPr>
          </w:p>
        </w:tc>
        <w:tc>
          <w:tcPr>
            <w:tcW w:w="124" w:type="dxa"/>
            <w:shd w:val="clear" w:color="auto" w:fill="auto"/>
            <w:tcMar>
              <w:top w:w="15" w:type="dxa"/>
              <w:left w:w="15" w:type="dxa"/>
              <w:right w:w="15" w:type="dxa"/>
            </w:tcMar>
            <w:vAlign w:val="bottom"/>
          </w:tcPr>
          <w:p>
            <w:pPr>
              <w:spacing w:line="276" w:lineRule="auto"/>
              <w:jc w:val="both"/>
              <w:rPr>
                <w:sz w:val="18"/>
                <w:szCs w:val="18"/>
              </w:rPr>
            </w:pP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25" w:type="dxa"/>
            <w:gridSpan w:val="2"/>
            <w:shd w:val="clear" w:color="auto" w:fill="auto"/>
            <w:tcMar>
              <w:top w:w="15" w:type="dxa"/>
              <w:left w:w="15" w:type="dxa"/>
              <w:right w:w="15" w:type="dxa"/>
            </w:tcMar>
            <w:vAlign w:val="bottom"/>
          </w:tcPr>
          <w:p>
            <w:pPr>
              <w:spacing w:line="276" w:lineRule="auto"/>
              <w:jc w:val="both"/>
              <w:textAlignment w:val="bottom"/>
              <w:rPr>
                <w:b/>
                <w:i/>
                <w:sz w:val="18"/>
                <w:szCs w:val="18"/>
              </w:rPr>
            </w:pPr>
            <w:r>
              <w:rPr>
                <w:rFonts w:eastAsia="SimSun"/>
                <w:b/>
                <w:i/>
                <w:sz w:val="18"/>
                <w:szCs w:val="18"/>
                <w:lang w:eastAsia="zh-CN" w:bidi="ar"/>
              </w:rPr>
              <w:t>Funding</w:t>
            </w: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Donor funding</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530" w:type="dxa"/>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SMI</w:t>
            </w:r>
          </w:p>
        </w:tc>
        <w:tc>
          <w:tcPr>
            <w:tcW w:w="124" w:type="dxa"/>
            <w:shd w:val="clear" w:color="auto" w:fill="auto"/>
            <w:tcMar>
              <w:top w:w="15" w:type="dxa"/>
              <w:left w:w="15" w:type="dxa"/>
              <w:right w:w="15" w:type="dxa"/>
            </w:tcMar>
            <w:vAlign w:val="bottom"/>
          </w:tcPr>
          <w:p>
            <w:pPr>
              <w:spacing w:line="276" w:lineRule="auto"/>
              <w:jc w:val="both"/>
              <w:rPr>
                <w:sz w:val="18"/>
                <w:szCs w:val="18"/>
              </w:rPr>
            </w:pP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Bank funding</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APBN-low carbon development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530" w:type="dxa"/>
            <w:shd w:val="clear" w:color="auto" w:fill="auto"/>
            <w:tcMar>
              <w:top w:w="15" w:type="dxa"/>
              <w:left w:w="15" w:type="dxa"/>
              <w:right w:w="15" w:type="dxa"/>
            </w:tcMar>
            <w:vAlign w:val="bottom"/>
          </w:tcPr>
          <w:p>
            <w:pPr>
              <w:spacing w:line="276" w:lineRule="auto"/>
              <w:jc w:val="both"/>
              <w:rPr>
                <w:sz w:val="18"/>
                <w:szCs w:val="18"/>
              </w:rPr>
            </w:pPr>
          </w:p>
        </w:tc>
        <w:tc>
          <w:tcPr>
            <w:tcW w:w="124" w:type="dxa"/>
            <w:shd w:val="clear" w:color="auto" w:fill="auto"/>
            <w:tcMar>
              <w:top w:w="15" w:type="dxa"/>
              <w:left w:w="15" w:type="dxa"/>
              <w:right w:w="15" w:type="dxa"/>
            </w:tcMar>
            <w:vAlign w:val="bottom"/>
          </w:tcPr>
          <w:p>
            <w:pPr>
              <w:spacing w:line="276" w:lineRule="auto"/>
              <w:jc w:val="both"/>
              <w:rPr>
                <w:sz w:val="18"/>
                <w:szCs w:val="18"/>
              </w:rPr>
            </w:pP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25" w:type="dxa"/>
            <w:gridSpan w:val="2"/>
            <w:shd w:val="clear" w:color="auto" w:fill="auto"/>
            <w:tcMar>
              <w:top w:w="15" w:type="dxa"/>
              <w:left w:w="15" w:type="dxa"/>
              <w:right w:w="15" w:type="dxa"/>
            </w:tcMar>
            <w:vAlign w:val="bottom"/>
          </w:tcPr>
          <w:p>
            <w:pPr>
              <w:spacing w:line="276" w:lineRule="auto"/>
              <w:jc w:val="both"/>
              <w:textAlignment w:val="bottom"/>
              <w:rPr>
                <w:b/>
                <w:i/>
                <w:sz w:val="18"/>
                <w:szCs w:val="18"/>
              </w:rPr>
            </w:pPr>
            <w:r>
              <w:rPr>
                <w:rFonts w:eastAsia="SimSun"/>
                <w:b/>
                <w:i/>
                <w:sz w:val="18"/>
                <w:szCs w:val="18"/>
                <w:lang w:eastAsia="zh-CN" w:bidi="ar"/>
              </w:rPr>
              <w:t>Measurement</w:t>
            </w: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emission reduction calculation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25" w:type="dxa"/>
            <w:gridSpan w:val="2"/>
            <w:shd w:val="clear" w:color="auto" w:fill="auto"/>
            <w:tcMar>
              <w:top w:w="15" w:type="dxa"/>
              <w:left w:w="15" w:type="dxa"/>
              <w:right w:w="15" w:type="dxa"/>
            </w:tcMar>
            <w:vAlign w:val="bottom"/>
          </w:tcPr>
          <w:p>
            <w:pPr>
              <w:spacing w:line="276" w:lineRule="auto"/>
              <w:jc w:val="both"/>
              <w:textAlignment w:val="bottom"/>
              <w:rPr>
                <w:b/>
                <w:i/>
                <w:sz w:val="18"/>
                <w:szCs w:val="18"/>
              </w:rPr>
            </w:pPr>
            <w:r>
              <w:rPr>
                <w:rFonts w:eastAsia="SimSun"/>
                <w:b/>
                <w:i/>
                <w:sz w:val="18"/>
                <w:szCs w:val="18"/>
                <w:lang w:eastAsia="zh-CN" w:bidi="ar"/>
              </w:rPr>
              <w:t xml:space="preserve">of emission </w:t>
            </w: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carbon market</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b/>
                <w:i/>
                <w:sz w:val="18"/>
                <w:szCs w:val="18"/>
              </w:rPr>
            </w:pPr>
            <w:r>
              <w:rPr>
                <w:rFonts w:eastAsia="SimSun"/>
                <w:b/>
                <w:i/>
                <w:sz w:val="18"/>
                <w:szCs w:val="18"/>
                <w:lang w:eastAsia="zh-CN" w:bidi="ar"/>
              </w:rPr>
              <w:t>reduction</w:t>
            </w: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carbon tax</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530" w:type="dxa"/>
            <w:shd w:val="clear" w:color="auto" w:fill="auto"/>
            <w:tcMar>
              <w:top w:w="15" w:type="dxa"/>
              <w:left w:w="15" w:type="dxa"/>
              <w:right w:w="15" w:type="dxa"/>
            </w:tcMar>
            <w:vAlign w:val="bottom"/>
          </w:tcPr>
          <w:p>
            <w:pPr>
              <w:spacing w:line="276" w:lineRule="auto"/>
              <w:jc w:val="both"/>
              <w:rPr>
                <w:sz w:val="18"/>
                <w:szCs w:val="18"/>
              </w:rPr>
            </w:pPr>
          </w:p>
        </w:tc>
        <w:tc>
          <w:tcPr>
            <w:tcW w:w="124" w:type="dxa"/>
            <w:shd w:val="clear" w:color="auto" w:fill="auto"/>
            <w:tcMar>
              <w:top w:w="15" w:type="dxa"/>
              <w:left w:w="15" w:type="dxa"/>
              <w:right w:w="15" w:type="dxa"/>
            </w:tcMar>
            <w:vAlign w:val="bottom"/>
          </w:tcPr>
          <w:p>
            <w:pPr>
              <w:spacing w:line="276" w:lineRule="auto"/>
              <w:jc w:val="both"/>
              <w:rPr>
                <w:sz w:val="18"/>
                <w:szCs w:val="18"/>
              </w:rPr>
            </w:pP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textAlignment w:val="bottom"/>
              <w:rPr>
                <w:b/>
                <w:i/>
                <w:sz w:val="18"/>
                <w:szCs w:val="18"/>
              </w:rPr>
            </w:pPr>
            <w:r>
              <w:rPr>
                <w:rFonts w:eastAsia="SimSun"/>
                <w:b/>
                <w:i/>
                <w:sz w:val="18"/>
                <w:szCs w:val="18"/>
                <w:lang w:eastAsia="zh-CN" w:bidi="ar"/>
              </w:rPr>
              <w:t>Education</w:t>
            </w: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1654" w:type="dxa"/>
            <w:gridSpan w:val="2"/>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EBT price study</w:t>
            </w:r>
          </w:p>
        </w:tc>
        <w:tc>
          <w:tcPr>
            <w:tcW w:w="1366" w:type="dxa"/>
            <w:shd w:val="clear" w:color="auto" w:fill="auto"/>
            <w:tcMar>
              <w:top w:w="15" w:type="dxa"/>
              <w:left w:w="15" w:type="dxa"/>
              <w:right w:w="15" w:type="dxa"/>
            </w:tcMar>
            <w:vAlign w:val="bottom"/>
          </w:tcPr>
          <w:p>
            <w:pPr>
              <w:spacing w:line="276"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1" w:type="dxa"/>
            <w:shd w:val="clear" w:color="auto" w:fill="auto"/>
            <w:tcMar>
              <w:top w:w="15" w:type="dxa"/>
              <w:left w:w="15" w:type="dxa"/>
              <w:right w:w="15" w:type="dxa"/>
            </w:tcMar>
            <w:vAlign w:val="bottom"/>
          </w:tcPr>
          <w:p>
            <w:pPr>
              <w:spacing w:line="276" w:lineRule="auto"/>
              <w:jc w:val="both"/>
              <w:rPr>
                <w:sz w:val="18"/>
                <w:szCs w:val="18"/>
              </w:rPr>
            </w:pPr>
          </w:p>
        </w:tc>
        <w:tc>
          <w:tcPr>
            <w:tcW w:w="54" w:type="dxa"/>
            <w:shd w:val="clear" w:color="auto" w:fill="auto"/>
            <w:tcMar>
              <w:top w:w="15" w:type="dxa"/>
              <w:left w:w="15" w:type="dxa"/>
              <w:right w:w="15" w:type="dxa"/>
            </w:tcMar>
            <w:vAlign w:val="bottom"/>
          </w:tcPr>
          <w:p>
            <w:pPr>
              <w:spacing w:line="276" w:lineRule="auto"/>
              <w:jc w:val="both"/>
              <w:rPr>
                <w:sz w:val="18"/>
                <w:szCs w:val="18"/>
              </w:rPr>
            </w:pPr>
          </w:p>
        </w:tc>
        <w:tc>
          <w:tcPr>
            <w:tcW w:w="3020" w:type="dxa"/>
            <w:gridSpan w:val="3"/>
            <w:shd w:val="clear" w:color="auto" w:fill="auto"/>
            <w:tcMar>
              <w:top w:w="15" w:type="dxa"/>
              <w:left w:w="15" w:type="dxa"/>
              <w:right w:w="15" w:type="dxa"/>
            </w:tcMar>
            <w:vAlign w:val="bottom"/>
          </w:tcPr>
          <w:p>
            <w:pPr>
              <w:spacing w:line="276" w:lineRule="auto"/>
              <w:jc w:val="both"/>
              <w:textAlignment w:val="bottom"/>
              <w:rPr>
                <w:sz w:val="18"/>
                <w:szCs w:val="18"/>
              </w:rPr>
            </w:pPr>
            <w:r>
              <w:rPr>
                <w:rFonts w:eastAsia="SimSun"/>
                <w:sz w:val="18"/>
                <w:szCs w:val="18"/>
                <w:lang w:eastAsia="zh-CN" w:bidi="ar"/>
              </w:rPr>
              <w:t>Socialization to society</w:t>
            </w:r>
          </w:p>
        </w:tc>
      </w:tr>
    </w:tbl>
    <w:p>
      <w:pPr>
        <w:spacing w:line="276" w:lineRule="auto"/>
        <w:ind w:left="220"/>
        <w:jc w:val="center"/>
        <w:rPr>
          <w:bCs/>
          <w:sz w:val="20"/>
          <w:szCs w:val="20"/>
        </w:rPr>
      </w:pPr>
    </w:p>
    <w:p>
      <w:pPr>
        <w:spacing w:line="276" w:lineRule="auto"/>
        <w:ind w:left="220"/>
        <w:jc w:val="center"/>
        <w:rPr>
          <w:bCs/>
          <w:sz w:val="20"/>
          <w:szCs w:val="20"/>
        </w:rPr>
      </w:pPr>
      <w:r>
        <w:rPr>
          <w:bCs/>
          <w:sz w:val="20"/>
          <w:szCs w:val="20"/>
        </w:rPr>
        <w:t xml:space="preserve">Table 1. </w:t>
      </w:r>
      <w:r>
        <w:rPr>
          <w:rFonts w:eastAsia="SimSun"/>
          <w:bCs/>
          <w:sz w:val="20"/>
          <w:szCs w:val="20"/>
          <w:lang w:eastAsia="zh-CN" w:bidi="ar"/>
        </w:rPr>
        <w:t>The Readiness Inhibitory Factors for Indonesia in Achieving the Target of the Paris Agreement</w:t>
      </w:r>
    </w:p>
    <w:p>
      <w:pPr>
        <w:spacing w:line="276" w:lineRule="auto"/>
        <w:ind w:left="220"/>
        <w:jc w:val="center"/>
        <w:rPr>
          <w:bCs/>
          <w:sz w:val="20"/>
          <w:szCs w:val="20"/>
        </w:rPr>
      </w:pPr>
    </w:p>
    <w:p>
      <w:pPr>
        <w:spacing w:line="276" w:lineRule="auto"/>
        <w:ind w:left="220"/>
        <w:jc w:val="both"/>
        <w:rPr>
          <w:bCs/>
        </w:rPr>
      </w:pPr>
    </w:p>
    <w:p>
      <w:pPr>
        <w:spacing w:line="276" w:lineRule="auto"/>
        <w:ind w:left="240" w:leftChars="99" w:hanging="2"/>
        <w:jc w:val="both"/>
        <w:rPr>
          <w:bCs/>
        </w:rPr>
      </w:pPr>
      <w:r>
        <w:rPr>
          <w:bCs/>
        </w:rPr>
        <w:t>Furthermore, based on the calculation of the average weighting of Indonesia's readiness to achieve the NDC target, the following is the readiness scale for three categories. The scale is weighted with a weight value of 0 to 100.</w:t>
      </w:r>
    </w:p>
    <w:p>
      <w:pPr>
        <w:spacing w:line="276" w:lineRule="auto"/>
        <w:ind w:left="240" w:leftChars="99" w:hanging="2"/>
        <w:jc w:val="both"/>
        <w:rPr>
          <w:bCs/>
        </w:rPr>
      </w:pPr>
    </w:p>
    <w:p>
      <w:pPr>
        <w:spacing w:line="276" w:lineRule="auto"/>
        <w:ind w:left="240" w:leftChars="99" w:hanging="2"/>
        <w:jc w:val="both"/>
        <w:rPr>
          <w:rFonts w:eastAsia="Calibri"/>
          <w:lang w:eastAsia="zh-CN" w:bidi="ar"/>
        </w:rPr>
      </w:pPr>
      <w:r>
        <w:rPr>
          <w:rFonts w:eastAsia="Calibri"/>
          <w:lang w:eastAsia="zh-CN" w:bidi="ar"/>
        </w:rPr>
        <w:t>The readiness scale is divided into not achieved (0-20), possibly achieved (21-40), partially achieved (41-60), achieved (61-80), exceeding the target (81-100).</w:t>
      </w:r>
    </w:p>
    <w:p>
      <w:pPr>
        <w:pStyle w:val="10"/>
        <w:numPr>
          <w:ilvl w:val="1"/>
          <w:numId w:val="3"/>
        </w:numPr>
        <w:spacing w:line="276" w:lineRule="auto"/>
        <w:jc w:val="both"/>
        <w:rPr>
          <w:bCs/>
        </w:rPr>
      </w:pPr>
      <w:r>
        <w:rPr>
          <w:bCs/>
        </w:rPr>
        <w:t>For the regulator with the readiness scale of 55 (partially achieved)</w:t>
      </w:r>
    </w:p>
    <w:p>
      <w:pPr>
        <w:pStyle w:val="10"/>
        <w:numPr>
          <w:ilvl w:val="1"/>
          <w:numId w:val="3"/>
        </w:numPr>
        <w:spacing w:line="276" w:lineRule="auto"/>
        <w:jc w:val="both"/>
        <w:rPr>
          <w:bCs/>
        </w:rPr>
      </w:pPr>
      <w:r>
        <w:rPr>
          <w:bCs/>
        </w:rPr>
        <w:t xml:space="preserve">For the expert and the practitioner with the readiness scale of 34 (possibly achieved) </w:t>
      </w:r>
    </w:p>
    <w:p>
      <w:pPr>
        <w:pStyle w:val="10"/>
        <w:numPr>
          <w:ilvl w:val="1"/>
          <w:numId w:val="3"/>
        </w:numPr>
        <w:spacing w:line="276" w:lineRule="auto"/>
        <w:jc w:val="both"/>
        <w:rPr>
          <w:bCs/>
        </w:rPr>
      </w:pPr>
      <w:r>
        <w:rPr>
          <w:bCs/>
        </w:rPr>
        <w:t>For NGOs with the readiness scale of 40 (possibly achieved)</w:t>
      </w:r>
    </w:p>
    <w:p>
      <w:pPr>
        <w:spacing w:line="276" w:lineRule="auto"/>
        <w:ind w:left="240" w:leftChars="100"/>
        <w:jc w:val="both"/>
        <w:rPr>
          <w:bCs/>
        </w:rPr>
      </w:pPr>
      <w:r>
        <w:rPr>
          <w:bCs/>
        </w:rPr>
        <w:t>Therefore, average Indonesia's readiness scale is at 43 (partially achieved).</w:t>
      </w:r>
    </w:p>
    <w:p>
      <w:pPr>
        <w:spacing w:line="276" w:lineRule="auto"/>
        <w:ind w:left="220"/>
        <w:jc w:val="both"/>
        <w:rPr>
          <w:bCs/>
        </w:rPr>
      </w:pPr>
    </w:p>
    <w:p>
      <w:pPr>
        <w:spacing w:line="276" w:lineRule="auto"/>
        <w:ind w:left="220"/>
        <w:jc w:val="both"/>
        <w:rPr>
          <w:bCs/>
        </w:rPr>
      </w:pPr>
      <w:r>
        <w:rPr>
          <w:bCs/>
        </w:rPr>
        <w:t>The results are contained in the table below:</w:t>
      </w:r>
    </w:p>
    <w:p>
      <w:pPr>
        <w:spacing w:line="276" w:lineRule="auto"/>
        <w:ind w:left="220"/>
        <w:jc w:val="both"/>
        <w:rPr>
          <w:bCs/>
        </w:rPr>
      </w:pPr>
    </w:p>
    <w:tbl>
      <w:tblPr>
        <w:tblStyle w:val="6"/>
        <w:tblW w:w="58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927"/>
        <w:gridCol w:w="960"/>
        <w:gridCol w:w="1066"/>
        <w:gridCol w:w="910"/>
        <w:gridCol w:w="53"/>
        <w:gridCol w:w="910"/>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0" w:type="dxa"/>
          <w:trHeight w:val="300" w:hRule="atLeast"/>
          <w:jc w:val="center"/>
        </w:trPr>
        <w:tc>
          <w:tcPr>
            <w:tcW w:w="4856" w:type="dxa"/>
            <w:gridSpan w:val="5"/>
            <w:shd w:val="clear" w:color="auto" w:fill="auto"/>
            <w:tcMar>
              <w:top w:w="15" w:type="dxa"/>
              <w:left w:w="15" w:type="dxa"/>
              <w:right w:w="15" w:type="dxa"/>
            </w:tcMar>
            <w:vAlign w:val="bottom"/>
          </w:tcPr>
          <w:p>
            <w:pPr>
              <w:spacing w:line="276" w:lineRule="auto"/>
              <w:jc w:val="both"/>
            </w:pPr>
            <w:r>
              <w:rPr>
                <w:rFonts w:eastAsia="SimSun"/>
                <w:b/>
                <w:bCs/>
                <w:lang w:eastAsia="zh-CN" w:bidi="ar"/>
              </w:rPr>
              <w:t>Readiness Scale</w:t>
            </w:r>
          </w:p>
        </w:tc>
        <w:tc>
          <w:tcPr>
            <w:tcW w:w="963" w:type="dxa"/>
            <w:gridSpan w:val="2"/>
            <w:shd w:val="clear" w:color="auto" w:fill="auto"/>
            <w:tcMar>
              <w:top w:w="15" w:type="dxa"/>
              <w:left w:w="15" w:type="dxa"/>
              <w:right w:w="15" w:type="dxa"/>
            </w:tcMar>
            <w:vAlign w:val="bottom"/>
          </w:tcPr>
          <w:p>
            <w:pPr>
              <w:spacing w:line="276" w:lineRule="auto"/>
              <w:jc w:val="both"/>
            </w:pPr>
            <w:r>
              <w:t>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993" w:type="dxa"/>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Not ready</w:t>
            </w:r>
          </w:p>
        </w:tc>
        <w:tc>
          <w:tcPr>
            <w:tcW w:w="927" w:type="dxa"/>
            <w:shd w:val="clear" w:color="auto" w:fill="auto"/>
            <w:tcMar>
              <w:top w:w="15" w:type="dxa"/>
              <w:left w:w="15" w:type="dxa"/>
              <w:right w:w="15" w:type="dxa"/>
            </w:tcMar>
            <w:vAlign w:val="bottom"/>
          </w:tcPr>
          <w:p>
            <w:pPr>
              <w:spacing w:line="276" w:lineRule="auto"/>
              <w:jc w:val="both"/>
            </w:pPr>
          </w:p>
        </w:tc>
        <w:tc>
          <w:tcPr>
            <w:tcW w:w="960" w:type="dxa"/>
            <w:shd w:val="clear" w:color="auto" w:fill="auto"/>
            <w:tcMar>
              <w:top w:w="15" w:type="dxa"/>
              <w:left w:w="15" w:type="dxa"/>
              <w:right w:w="15" w:type="dxa"/>
            </w:tcMar>
            <w:vAlign w:val="bottom"/>
          </w:tcPr>
          <w:p>
            <w:pPr>
              <w:spacing w:line="276" w:lineRule="auto"/>
              <w:jc w:val="both"/>
            </w:pPr>
          </w:p>
        </w:tc>
        <w:tc>
          <w:tcPr>
            <w:tcW w:w="1066" w:type="dxa"/>
            <w:shd w:val="clear" w:color="auto" w:fill="auto"/>
            <w:tcMar>
              <w:top w:w="15" w:type="dxa"/>
              <w:left w:w="15" w:type="dxa"/>
              <w:right w:w="15" w:type="dxa"/>
            </w:tcMar>
            <w:vAlign w:val="bottom"/>
          </w:tcPr>
          <w:p>
            <w:pPr>
              <w:spacing w:line="276" w:lineRule="auto"/>
              <w:jc w:val="both"/>
            </w:pPr>
          </w:p>
        </w:tc>
        <w:tc>
          <w:tcPr>
            <w:tcW w:w="910" w:type="dxa"/>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Ready</w:t>
            </w:r>
          </w:p>
        </w:tc>
        <w:tc>
          <w:tcPr>
            <w:tcW w:w="53" w:type="dxa"/>
            <w:shd w:val="clear" w:color="auto" w:fill="auto"/>
            <w:tcMar>
              <w:top w:w="15" w:type="dxa"/>
              <w:left w:w="15" w:type="dxa"/>
              <w:right w:w="15" w:type="dxa"/>
            </w:tcMar>
            <w:vAlign w:val="bottom"/>
          </w:tcPr>
          <w:p>
            <w:pPr>
              <w:spacing w:line="276" w:lineRule="auto"/>
              <w:jc w:val="both"/>
            </w:pPr>
          </w:p>
        </w:tc>
        <w:tc>
          <w:tcPr>
            <w:tcW w:w="960" w:type="dxa"/>
            <w:gridSpan w:val="2"/>
            <w:shd w:val="clear" w:color="auto" w:fill="auto"/>
            <w:tcMar>
              <w:top w:w="15" w:type="dxa"/>
              <w:left w:w="15" w:type="dxa"/>
              <w:right w:w="15" w:type="dxa"/>
            </w:tcMar>
            <w:vAlign w:val="bottom"/>
          </w:tcPr>
          <w:p>
            <w:pPr>
              <w:spacing w:line="276"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993" w:type="dxa"/>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10</w:t>
            </w:r>
          </w:p>
        </w:tc>
        <w:tc>
          <w:tcPr>
            <w:tcW w:w="927" w:type="dxa"/>
            <w:shd w:val="clear" w:color="auto" w:fill="auto"/>
            <w:tcMar>
              <w:top w:w="15" w:type="dxa"/>
              <w:left w:w="15" w:type="dxa"/>
              <w:right w:w="15" w:type="dxa"/>
            </w:tcMar>
            <w:vAlign w:val="bottom"/>
          </w:tcPr>
          <w:p>
            <w:pPr>
              <w:spacing w:line="276" w:lineRule="auto"/>
              <w:jc w:val="both"/>
            </w:pPr>
          </w:p>
        </w:tc>
        <w:tc>
          <w:tcPr>
            <w:tcW w:w="960" w:type="dxa"/>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50</w:t>
            </w:r>
          </w:p>
        </w:tc>
        <w:tc>
          <w:tcPr>
            <w:tcW w:w="1066" w:type="dxa"/>
            <w:shd w:val="clear" w:color="auto" w:fill="auto"/>
            <w:tcMar>
              <w:top w:w="15" w:type="dxa"/>
              <w:left w:w="15" w:type="dxa"/>
              <w:right w:w="15" w:type="dxa"/>
            </w:tcMar>
            <w:vAlign w:val="bottom"/>
          </w:tcPr>
          <w:p>
            <w:pPr>
              <w:spacing w:line="276" w:lineRule="auto"/>
              <w:jc w:val="both"/>
            </w:pPr>
          </w:p>
        </w:tc>
        <w:tc>
          <w:tcPr>
            <w:tcW w:w="910" w:type="dxa"/>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100</w:t>
            </w:r>
          </w:p>
        </w:tc>
        <w:tc>
          <w:tcPr>
            <w:tcW w:w="53" w:type="dxa"/>
            <w:shd w:val="clear" w:color="auto" w:fill="auto"/>
            <w:tcMar>
              <w:top w:w="15" w:type="dxa"/>
              <w:left w:w="15" w:type="dxa"/>
              <w:right w:w="15" w:type="dxa"/>
            </w:tcMar>
            <w:vAlign w:val="bottom"/>
          </w:tcPr>
          <w:p>
            <w:pPr>
              <w:spacing w:line="276" w:lineRule="auto"/>
              <w:jc w:val="both"/>
            </w:pPr>
          </w:p>
        </w:tc>
        <w:tc>
          <w:tcPr>
            <w:tcW w:w="960" w:type="dxa"/>
            <w:gridSpan w:val="2"/>
            <w:shd w:val="clear" w:color="auto" w:fill="auto"/>
            <w:tcMar>
              <w:top w:w="15" w:type="dxa"/>
              <w:left w:w="15" w:type="dxa"/>
              <w:right w:w="15" w:type="dxa"/>
            </w:tcMar>
            <w:vAlign w:val="bottom"/>
          </w:tcPr>
          <w:p>
            <w:pPr>
              <w:spacing w:line="276"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993" w:type="dxa"/>
            <w:shd w:val="clear" w:color="auto" w:fill="auto"/>
            <w:tcMar>
              <w:top w:w="15" w:type="dxa"/>
              <w:left w:w="15" w:type="dxa"/>
              <w:right w:w="15" w:type="dxa"/>
            </w:tcMar>
            <w:vAlign w:val="bottom"/>
          </w:tcPr>
          <w:p>
            <w:pPr>
              <w:spacing w:line="276" w:lineRule="auto"/>
              <w:jc w:val="both"/>
            </w:pPr>
          </w:p>
        </w:tc>
        <w:tc>
          <w:tcPr>
            <w:tcW w:w="927" w:type="dxa"/>
            <w:shd w:val="clear" w:color="auto" w:fill="auto"/>
            <w:tcMar>
              <w:top w:w="15" w:type="dxa"/>
              <w:left w:w="15" w:type="dxa"/>
              <w:right w:w="15" w:type="dxa"/>
            </w:tcMar>
            <w:vAlign w:val="bottom"/>
          </w:tcPr>
          <w:p>
            <w:pPr>
              <w:spacing w:line="276" w:lineRule="auto"/>
              <w:jc w:val="both"/>
            </w:pPr>
          </w:p>
        </w:tc>
        <w:tc>
          <w:tcPr>
            <w:tcW w:w="960" w:type="dxa"/>
            <w:shd w:val="clear" w:color="auto" w:fill="auto"/>
            <w:tcMar>
              <w:top w:w="15" w:type="dxa"/>
              <w:left w:w="15" w:type="dxa"/>
              <w:right w:w="15" w:type="dxa"/>
            </w:tcMar>
            <w:vAlign w:val="bottom"/>
          </w:tcPr>
          <w:p>
            <w:pPr>
              <w:spacing w:line="276" w:lineRule="auto"/>
              <w:jc w:val="both"/>
            </w:pPr>
          </w:p>
        </w:tc>
        <w:tc>
          <w:tcPr>
            <w:tcW w:w="1976" w:type="dxa"/>
            <w:gridSpan w:val="2"/>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 xml:space="preserve">Regulator </w:t>
            </w:r>
          </w:p>
        </w:tc>
        <w:tc>
          <w:tcPr>
            <w:tcW w:w="53" w:type="dxa"/>
            <w:shd w:val="clear" w:color="auto" w:fill="auto"/>
            <w:tcMar>
              <w:top w:w="15" w:type="dxa"/>
              <w:left w:w="15" w:type="dxa"/>
              <w:right w:w="15" w:type="dxa"/>
            </w:tcMar>
            <w:vAlign w:val="bottom"/>
          </w:tcPr>
          <w:p>
            <w:pPr>
              <w:spacing w:line="276" w:lineRule="auto"/>
              <w:jc w:val="both"/>
            </w:pPr>
          </w:p>
        </w:tc>
        <w:tc>
          <w:tcPr>
            <w:tcW w:w="960" w:type="dxa"/>
            <w:gridSpan w:val="2"/>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993" w:type="dxa"/>
            <w:shd w:val="clear" w:color="auto" w:fill="auto"/>
            <w:tcMar>
              <w:top w:w="15" w:type="dxa"/>
              <w:left w:w="15" w:type="dxa"/>
              <w:right w:w="15" w:type="dxa"/>
            </w:tcMar>
            <w:vAlign w:val="bottom"/>
          </w:tcPr>
          <w:p>
            <w:pPr>
              <w:spacing w:line="276" w:lineRule="auto"/>
              <w:jc w:val="both"/>
            </w:pPr>
          </w:p>
        </w:tc>
        <w:tc>
          <w:tcPr>
            <w:tcW w:w="1887" w:type="dxa"/>
            <w:gridSpan w:val="2"/>
            <w:shd w:val="clear" w:color="auto" w:fill="auto"/>
            <w:tcMar>
              <w:top w:w="15" w:type="dxa"/>
              <w:left w:w="15" w:type="dxa"/>
              <w:right w:w="15" w:type="dxa"/>
            </w:tcMar>
            <w:vAlign w:val="bottom"/>
          </w:tcPr>
          <w:p>
            <w:pPr>
              <w:spacing w:line="276" w:lineRule="auto"/>
              <w:textAlignment w:val="bottom"/>
            </w:pPr>
            <w:r>
              <w:rPr>
                <w:rFonts w:eastAsia="SimSun"/>
                <w:lang w:eastAsia="zh-CN" w:bidi="ar"/>
              </w:rPr>
              <w:t>Expert and practitioner</w:t>
            </w:r>
          </w:p>
        </w:tc>
        <w:tc>
          <w:tcPr>
            <w:tcW w:w="1066" w:type="dxa"/>
            <w:shd w:val="clear" w:color="auto" w:fill="auto"/>
            <w:tcMar>
              <w:top w:w="15" w:type="dxa"/>
              <w:left w:w="15" w:type="dxa"/>
              <w:right w:w="15" w:type="dxa"/>
            </w:tcMar>
            <w:vAlign w:val="bottom"/>
          </w:tcPr>
          <w:p>
            <w:pPr>
              <w:spacing w:line="276" w:lineRule="auto"/>
              <w:jc w:val="both"/>
            </w:pPr>
          </w:p>
        </w:tc>
        <w:tc>
          <w:tcPr>
            <w:tcW w:w="910" w:type="dxa"/>
            <w:shd w:val="clear" w:color="auto" w:fill="auto"/>
            <w:tcMar>
              <w:top w:w="15" w:type="dxa"/>
              <w:left w:w="15" w:type="dxa"/>
              <w:right w:w="15" w:type="dxa"/>
            </w:tcMar>
            <w:vAlign w:val="bottom"/>
          </w:tcPr>
          <w:p>
            <w:pPr>
              <w:spacing w:line="276" w:lineRule="auto"/>
              <w:jc w:val="both"/>
            </w:pPr>
          </w:p>
        </w:tc>
        <w:tc>
          <w:tcPr>
            <w:tcW w:w="53" w:type="dxa"/>
            <w:shd w:val="clear" w:color="auto" w:fill="auto"/>
            <w:tcMar>
              <w:top w:w="15" w:type="dxa"/>
              <w:left w:w="15" w:type="dxa"/>
              <w:right w:w="15" w:type="dxa"/>
            </w:tcMar>
            <w:vAlign w:val="bottom"/>
          </w:tcPr>
          <w:p>
            <w:pPr>
              <w:spacing w:line="276" w:lineRule="auto"/>
              <w:jc w:val="both"/>
            </w:pPr>
          </w:p>
        </w:tc>
        <w:tc>
          <w:tcPr>
            <w:tcW w:w="960" w:type="dxa"/>
            <w:gridSpan w:val="2"/>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993" w:type="dxa"/>
            <w:shd w:val="clear" w:color="auto" w:fill="auto"/>
            <w:tcMar>
              <w:top w:w="15" w:type="dxa"/>
              <w:left w:w="15" w:type="dxa"/>
              <w:right w:w="15" w:type="dxa"/>
            </w:tcMar>
            <w:vAlign w:val="bottom"/>
          </w:tcPr>
          <w:p>
            <w:pPr>
              <w:spacing w:line="276" w:lineRule="auto"/>
              <w:jc w:val="both"/>
            </w:pPr>
          </w:p>
        </w:tc>
        <w:tc>
          <w:tcPr>
            <w:tcW w:w="927" w:type="dxa"/>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NGO</w:t>
            </w:r>
          </w:p>
        </w:tc>
        <w:tc>
          <w:tcPr>
            <w:tcW w:w="960" w:type="dxa"/>
            <w:shd w:val="clear" w:color="auto" w:fill="auto"/>
            <w:tcMar>
              <w:top w:w="15" w:type="dxa"/>
              <w:left w:w="15" w:type="dxa"/>
              <w:right w:w="15" w:type="dxa"/>
            </w:tcMar>
            <w:vAlign w:val="bottom"/>
          </w:tcPr>
          <w:p>
            <w:pPr>
              <w:spacing w:line="276" w:lineRule="auto"/>
              <w:jc w:val="both"/>
            </w:pPr>
          </w:p>
        </w:tc>
        <w:tc>
          <w:tcPr>
            <w:tcW w:w="1066" w:type="dxa"/>
            <w:shd w:val="clear" w:color="auto" w:fill="auto"/>
            <w:tcMar>
              <w:top w:w="15" w:type="dxa"/>
              <w:left w:w="15" w:type="dxa"/>
              <w:right w:w="15" w:type="dxa"/>
            </w:tcMar>
            <w:vAlign w:val="bottom"/>
          </w:tcPr>
          <w:p>
            <w:pPr>
              <w:spacing w:line="276" w:lineRule="auto"/>
              <w:jc w:val="both"/>
            </w:pPr>
          </w:p>
        </w:tc>
        <w:tc>
          <w:tcPr>
            <w:tcW w:w="910" w:type="dxa"/>
            <w:shd w:val="clear" w:color="auto" w:fill="auto"/>
            <w:tcMar>
              <w:top w:w="15" w:type="dxa"/>
              <w:left w:w="15" w:type="dxa"/>
              <w:right w:w="15" w:type="dxa"/>
            </w:tcMar>
            <w:vAlign w:val="bottom"/>
          </w:tcPr>
          <w:p>
            <w:pPr>
              <w:spacing w:line="276" w:lineRule="auto"/>
              <w:jc w:val="both"/>
            </w:pPr>
          </w:p>
        </w:tc>
        <w:tc>
          <w:tcPr>
            <w:tcW w:w="53" w:type="dxa"/>
            <w:shd w:val="clear" w:color="auto" w:fill="auto"/>
            <w:tcMar>
              <w:top w:w="15" w:type="dxa"/>
              <w:left w:w="15" w:type="dxa"/>
              <w:right w:w="15" w:type="dxa"/>
            </w:tcMar>
            <w:vAlign w:val="bottom"/>
          </w:tcPr>
          <w:p>
            <w:pPr>
              <w:spacing w:line="276" w:lineRule="auto"/>
              <w:jc w:val="both"/>
            </w:pPr>
          </w:p>
        </w:tc>
        <w:tc>
          <w:tcPr>
            <w:tcW w:w="960" w:type="dxa"/>
            <w:gridSpan w:val="2"/>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993" w:type="dxa"/>
            <w:shd w:val="clear" w:color="auto" w:fill="auto"/>
            <w:tcMar>
              <w:top w:w="15" w:type="dxa"/>
              <w:left w:w="15" w:type="dxa"/>
              <w:right w:w="15" w:type="dxa"/>
            </w:tcMar>
            <w:vAlign w:val="bottom"/>
          </w:tcPr>
          <w:p>
            <w:pPr>
              <w:spacing w:line="276" w:lineRule="auto"/>
              <w:jc w:val="both"/>
            </w:pPr>
          </w:p>
        </w:tc>
        <w:tc>
          <w:tcPr>
            <w:tcW w:w="927" w:type="dxa"/>
            <w:shd w:val="clear" w:color="auto" w:fill="auto"/>
            <w:tcMar>
              <w:top w:w="15" w:type="dxa"/>
              <w:left w:w="15" w:type="dxa"/>
              <w:right w:w="15" w:type="dxa"/>
            </w:tcMar>
            <w:vAlign w:val="bottom"/>
          </w:tcPr>
          <w:p>
            <w:pPr>
              <w:spacing w:line="276" w:lineRule="auto"/>
              <w:jc w:val="both"/>
              <w:rPr>
                <w:b/>
                <w:bCs/>
              </w:rPr>
            </w:pPr>
          </w:p>
        </w:tc>
        <w:tc>
          <w:tcPr>
            <w:tcW w:w="960" w:type="dxa"/>
            <w:shd w:val="clear" w:color="auto" w:fill="auto"/>
            <w:tcMar>
              <w:top w:w="15" w:type="dxa"/>
              <w:left w:w="15" w:type="dxa"/>
              <w:right w:w="15" w:type="dxa"/>
            </w:tcMar>
            <w:vAlign w:val="bottom"/>
          </w:tcPr>
          <w:p>
            <w:pPr>
              <w:spacing w:line="276" w:lineRule="auto"/>
              <w:jc w:val="both"/>
              <w:textAlignment w:val="bottom"/>
              <w:rPr>
                <w:b/>
                <w:bCs/>
              </w:rPr>
            </w:pPr>
            <w:r>
              <w:rPr>
                <w:rFonts w:eastAsia="SimSun"/>
                <w:b/>
                <w:bCs/>
                <w:lang w:eastAsia="zh-CN" w:bidi="ar"/>
              </w:rPr>
              <w:t>scale</w:t>
            </w:r>
          </w:p>
        </w:tc>
        <w:tc>
          <w:tcPr>
            <w:tcW w:w="1066" w:type="dxa"/>
            <w:shd w:val="clear" w:color="auto" w:fill="auto"/>
            <w:tcMar>
              <w:top w:w="15" w:type="dxa"/>
              <w:left w:w="15" w:type="dxa"/>
              <w:right w:w="15" w:type="dxa"/>
            </w:tcMar>
            <w:vAlign w:val="bottom"/>
          </w:tcPr>
          <w:p>
            <w:pPr>
              <w:spacing w:line="276" w:lineRule="auto"/>
              <w:jc w:val="both"/>
            </w:pPr>
          </w:p>
        </w:tc>
        <w:tc>
          <w:tcPr>
            <w:tcW w:w="910" w:type="dxa"/>
            <w:shd w:val="clear" w:color="auto" w:fill="auto"/>
            <w:tcMar>
              <w:top w:w="15" w:type="dxa"/>
              <w:left w:w="15" w:type="dxa"/>
              <w:right w:w="15" w:type="dxa"/>
            </w:tcMar>
            <w:vAlign w:val="bottom"/>
          </w:tcPr>
          <w:p>
            <w:pPr>
              <w:spacing w:line="276" w:lineRule="auto"/>
              <w:jc w:val="both"/>
            </w:pPr>
          </w:p>
        </w:tc>
        <w:tc>
          <w:tcPr>
            <w:tcW w:w="53" w:type="dxa"/>
            <w:shd w:val="clear" w:color="auto" w:fill="auto"/>
            <w:tcMar>
              <w:top w:w="15" w:type="dxa"/>
              <w:left w:w="15" w:type="dxa"/>
              <w:right w:w="15" w:type="dxa"/>
            </w:tcMar>
            <w:vAlign w:val="bottom"/>
          </w:tcPr>
          <w:p>
            <w:pPr>
              <w:spacing w:line="276" w:lineRule="auto"/>
              <w:jc w:val="both"/>
            </w:pPr>
          </w:p>
        </w:tc>
        <w:tc>
          <w:tcPr>
            <w:tcW w:w="960" w:type="dxa"/>
            <w:gridSpan w:val="2"/>
            <w:shd w:val="clear" w:color="auto" w:fill="auto"/>
            <w:tcMar>
              <w:top w:w="15" w:type="dxa"/>
              <w:left w:w="15" w:type="dxa"/>
              <w:right w:w="15" w:type="dxa"/>
            </w:tcMar>
            <w:vAlign w:val="bottom"/>
          </w:tcPr>
          <w:p>
            <w:pPr>
              <w:spacing w:line="276" w:lineRule="auto"/>
              <w:jc w:val="both"/>
              <w:textAlignment w:val="bottom"/>
            </w:pPr>
            <w:r>
              <w:rPr>
                <w:rFonts w:eastAsia="SimSun"/>
                <w:lang w:eastAsia="zh-CN" w:bidi="ar"/>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993" w:type="dxa"/>
            <w:shd w:val="clear" w:color="auto" w:fill="auto"/>
            <w:tcMar>
              <w:top w:w="15" w:type="dxa"/>
              <w:left w:w="15" w:type="dxa"/>
              <w:right w:w="15" w:type="dxa"/>
            </w:tcMar>
            <w:vAlign w:val="bottom"/>
          </w:tcPr>
          <w:p>
            <w:pPr>
              <w:spacing w:line="276" w:lineRule="auto"/>
              <w:jc w:val="both"/>
            </w:pPr>
          </w:p>
        </w:tc>
        <w:tc>
          <w:tcPr>
            <w:tcW w:w="927" w:type="dxa"/>
            <w:shd w:val="clear" w:color="auto" w:fill="auto"/>
            <w:tcMar>
              <w:top w:w="15" w:type="dxa"/>
              <w:left w:w="15" w:type="dxa"/>
              <w:right w:w="15" w:type="dxa"/>
            </w:tcMar>
            <w:vAlign w:val="bottom"/>
          </w:tcPr>
          <w:p>
            <w:pPr>
              <w:spacing w:line="276" w:lineRule="auto"/>
              <w:jc w:val="both"/>
            </w:pPr>
          </w:p>
        </w:tc>
        <w:tc>
          <w:tcPr>
            <w:tcW w:w="960" w:type="dxa"/>
            <w:shd w:val="clear" w:color="auto" w:fill="auto"/>
            <w:tcMar>
              <w:top w:w="15" w:type="dxa"/>
              <w:left w:w="15" w:type="dxa"/>
              <w:right w:w="15" w:type="dxa"/>
            </w:tcMar>
            <w:vAlign w:val="bottom"/>
          </w:tcPr>
          <w:p>
            <w:pPr>
              <w:spacing w:line="276" w:lineRule="auto"/>
              <w:jc w:val="both"/>
            </w:pPr>
          </w:p>
        </w:tc>
        <w:tc>
          <w:tcPr>
            <w:tcW w:w="1066" w:type="dxa"/>
            <w:shd w:val="clear" w:color="auto" w:fill="auto"/>
            <w:tcMar>
              <w:top w:w="15" w:type="dxa"/>
              <w:left w:w="15" w:type="dxa"/>
              <w:right w:w="15" w:type="dxa"/>
            </w:tcMar>
            <w:vAlign w:val="bottom"/>
          </w:tcPr>
          <w:p>
            <w:pPr>
              <w:spacing w:line="276" w:lineRule="auto"/>
              <w:jc w:val="both"/>
            </w:pPr>
          </w:p>
        </w:tc>
        <w:tc>
          <w:tcPr>
            <w:tcW w:w="910" w:type="dxa"/>
            <w:shd w:val="clear" w:color="auto" w:fill="auto"/>
            <w:tcMar>
              <w:top w:w="15" w:type="dxa"/>
              <w:left w:w="15" w:type="dxa"/>
              <w:right w:w="15" w:type="dxa"/>
            </w:tcMar>
            <w:vAlign w:val="bottom"/>
          </w:tcPr>
          <w:p>
            <w:pPr>
              <w:spacing w:line="276" w:lineRule="auto"/>
              <w:jc w:val="both"/>
            </w:pPr>
          </w:p>
        </w:tc>
        <w:tc>
          <w:tcPr>
            <w:tcW w:w="53" w:type="dxa"/>
            <w:shd w:val="clear" w:color="auto" w:fill="auto"/>
            <w:tcMar>
              <w:top w:w="15" w:type="dxa"/>
              <w:left w:w="15" w:type="dxa"/>
              <w:right w:w="15" w:type="dxa"/>
            </w:tcMar>
            <w:vAlign w:val="bottom"/>
          </w:tcPr>
          <w:p>
            <w:pPr>
              <w:spacing w:line="276" w:lineRule="auto"/>
              <w:jc w:val="both"/>
            </w:pPr>
          </w:p>
        </w:tc>
        <w:tc>
          <w:tcPr>
            <w:tcW w:w="960" w:type="dxa"/>
            <w:gridSpan w:val="2"/>
            <w:shd w:val="clear" w:color="auto" w:fill="auto"/>
            <w:tcMar>
              <w:top w:w="15" w:type="dxa"/>
              <w:left w:w="15" w:type="dxa"/>
              <w:right w:w="15" w:type="dxa"/>
            </w:tcMar>
            <w:vAlign w:val="bottom"/>
          </w:tcPr>
          <w:p>
            <w:pPr>
              <w:spacing w:line="276" w:lineRule="auto"/>
              <w:jc w:val="both"/>
            </w:pPr>
          </w:p>
        </w:tc>
      </w:tr>
    </w:tbl>
    <w:p>
      <w:pPr>
        <w:spacing w:line="276" w:lineRule="auto"/>
        <w:ind w:left="220"/>
        <w:jc w:val="center"/>
        <w:rPr>
          <w:bCs/>
          <w:sz w:val="20"/>
          <w:szCs w:val="20"/>
        </w:rPr>
      </w:pPr>
      <w:r>
        <w:rPr>
          <w:bCs/>
          <w:sz w:val="20"/>
          <w:szCs w:val="20"/>
        </w:rPr>
        <w:t xml:space="preserve">Table 2. </w:t>
      </w:r>
      <w:r>
        <w:rPr>
          <w:rFonts w:eastAsia="SimSun"/>
          <w:bCs/>
          <w:sz w:val="20"/>
          <w:szCs w:val="20"/>
          <w:lang w:eastAsia="zh-CN" w:bidi="ar"/>
        </w:rPr>
        <w:t>The Indonesia Readiness Scale</w:t>
      </w:r>
    </w:p>
    <w:p>
      <w:pPr>
        <w:spacing w:line="276" w:lineRule="auto"/>
        <w:jc w:val="both"/>
      </w:pPr>
    </w:p>
    <w:p>
      <w:pPr>
        <w:spacing w:line="276" w:lineRule="auto"/>
        <w:jc w:val="both"/>
      </w:pPr>
      <w:r>
        <w:t>From the result of the interview, there are 51 recommendations for solutions. If it is reduced according to the number of supporters, it becomes seven:</w:t>
      </w:r>
    </w:p>
    <w:p>
      <w:pPr>
        <w:pStyle w:val="9"/>
        <w:spacing w:beforeAutospacing="0" w:afterAutospacing="0" w:line="276" w:lineRule="auto"/>
        <w:jc w:val="both"/>
      </w:pPr>
      <w:r>
        <w:rPr>
          <w:bCs/>
          <w:lang w:val="en-US" w:eastAsia="en-US"/>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125730</wp:posOffset>
                </wp:positionV>
                <wp:extent cx="4688840" cy="2239645"/>
                <wp:effectExtent l="0" t="0" r="10160" b="0"/>
                <wp:wrapNone/>
                <wp:docPr id="1" name="Rectangle 1"/>
                <wp:cNvGraphicFramePr/>
                <a:graphic xmlns:a="http://schemas.openxmlformats.org/drawingml/2006/main">
                  <a:graphicData uri="http://schemas.microsoft.com/office/word/2010/wordprocessingShape">
                    <wps:wsp>
                      <wps:cNvSpPr/>
                      <wps:spPr>
                        <a:xfrm>
                          <a:off x="0" y="0"/>
                          <a:ext cx="4688840" cy="223990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tbl>
                            <w:tblPr>
                              <w:tblStyle w:val="6"/>
                              <w:tblW w:w="7170" w:type="dxa"/>
                              <w:tblInd w:w="0" w:type="dxa"/>
                              <w:tblLayout w:type="fixed"/>
                              <w:tblCellMar>
                                <w:top w:w="15" w:type="dxa"/>
                                <w:left w:w="15" w:type="dxa"/>
                                <w:bottom w:w="15" w:type="dxa"/>
                                <w:right w:w="15" w:type="dxa"/>
                              </w:tblCellMar>
                            </w:tblPr>
                            <w:tblGrid>
                              <w:gridCol w:w="614"/>
                              <w:gridCol w:w="4764"/>
                              <w:gridCol w:w="932"/>
                              <w:gridCol w:w="860"/>
                            </w:tblGrid>
                            <w:tr>
                              <w:tblPrEx>
                                <w:tblLayout w:type="fixed"/>
                                <w:tblCellMar>
                                  <w:top w:w="15" w:type="dxa"/>
                                  <w:left w:w="15" w:type="dxa"/>
                                  <w:bottom w:w="15" w:type="dxa"/>
                                  <w:right w:w="15"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jc w:val="center"/>
                                    <w:rPr>
                                      <w:b/>
                                      <w:bCs/>
                                      <w:color w:val="000000"/>
                                      <w:sz w:val="20"/>
                                      <w:szCs w:val="20"/>
                                    </w:rPr>
                                  </w:pPr>
                                  <w:r>
                                    <w:rPr>
                                      <w:b/>
                                      <w:bCs/>
                                      <w:color w:val="000000"/>
                                      <w:sz w:val="20"/>
                                      <w:szCs w:val="20"/>
                                    </w:rPr>
                                    <w:t>No</w:t>
                                  </w:r>
                                </w:p>
                              </w:tc>
                              <w:tc>
                                <w:tcPr>
                                  <w:tcW w:w="4764" w:type="dxa"/>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jc w:val="center"/>
                                    <w:rPr>
                                      <w:color w:val="222222"/>
                                      <w:sz w:val="20"/>
                                      <w:szCs w:val="20"/>
                                      <w:lang w:val="en" w:eastAsia="zh-CN"/>
                                    </w:rPr>
                                  </w:pPr>
                                </w:p>
                                <w:p>
                                  <w:pPr>
                                    <w:jc w:val="center"/>
                                    <w:rPr>
                                      <w:color w:val="222222"/>
                                      <w:sz w:val="20"/>
                                      <w:szCs w:val="20"/>
                                      <w:lang w:val="en" w:eastAsia="zh-CN"/>
                                    </w:rPr>
                                  </w:pPr>
                                </w:p>
                                <w:p>
                                  <w:pPr>
                                    <w:jc w:val="center"/>
                                    <w:rPr>
                                      <w:b/>
                                      <w:bCs/>
                                      <w:color w:val="000000"/>
                                      <w:sz w:val="20"/>
                                      <w:szCs w:val="20"/>
                                    </w:rPr>
                                  </w:pPr>
                                  <w:r>
                                    <w:rPr>
                                      <w:color w:val="222222"/>
                                      <w:sz w:val="20"/>
                                      <w:szCs w:val="20"/>
                                      <w:lang w:val="en" w:eastAsia="zh-CN"/>
                                    </w:rPr>
                                    <w:t>Solutions for Supporting Renewable Energy (RE)</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D0CECE"/>
                                  <w:vAlign w:val="bottom"/>
                                </w:tcPr>
                                <w:p>
                                  <w:pPr>
                                    <w:jc w:val="center"/>
                                    <w:rPr>
                                      <w:b/>
                                      <w:bCs/>
                                      <w:color w:val="000000"/>
                                      <w:sz w:val="20"/>
                                      <w:szCs w:val="20"/>
                                    </w:rPr>
                                  </w:pPr>
                                  <w:r>
                                    <w:rPr>
                                      <w:b/>
                                      <w:bCs/>
                                      <w:color w:val="000000"/>
                                      <w:sz w:val="20"/>
                                      <w:szCs w:val="20"/>
                                      <w:lang w:val="zh-CN"/>
                                    </w:rPr>
                                    <w:t>Supporting</w:t>
                                  </w:r>
                                </w:p>
                              </w:tc>
                            </w:tr>
                            <w:tr>
                              <w:tblPrEx>
                                <w:tblLayout w:type="fixed"/>
                                <w:tblCellMar>
                                  <w:top w:w="15" w:type="dxa"/>
                                  <w:left w:w="15" w:type="dxa"/>
                                  <w:bottom w:w="15" w:type="dxa"/>
                                  <w:right w:w="15" w:type="dxa"/>
                                </w:tblCellMar>
                              </w:tblPrEx>
                              <w:trPr>
                                <w:trHeight w:val="28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rPr>
                                      <w:b/>
                                      <w:bCs/>
                                      <w:color w:val="000000"/>
                                      <w:sz w:val="20"/>
                                      <w:szCs w:val="20"/>
                                    </w:rPr>
                                  </w:pPr>
                                </w:p>
                              </w:tc>
                              <w:tc>
                                <w:tcPr>
                                  <w:tcW w:w="4764" w:type="dxa"/>
                                  <w:vMerge w:val="continue"/>
                                  <w:tcBorders>
                                    <w:top w:val="single" w:color="000000" w:sz="4" w:space="0"/>
                                    <w:left w:val="single" w:color="000000" w:sz="4" w:space="0"/>
                                    <w:bottom w:val="single" w:color="000000" w:sz="4" w:space="0"/>
                                    <w:right w:val="single" w:color="000000" w:sz="4" w:space="0"/>
                                  </w:tcBorders>
                                  <w:vAlign w:val="center"/>
                                </w:tcPr>
                                <w:p>
                                  <w:pPr>
                                    <w:rPr>
                                      <w:b/>
                                      <w:bCs/>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shd w:val="clear" w:color="auto" w:fill="D0CECE"/>
                                  <w:vAlign w:val="bottom"/>
                                </w:tcPr>
                                <w:p>
                                  <w:pPr>
                                    <w:jc w:val="center"/>
                                    <w:rPr>
                                      <w:b/>
                                      <w:bCs/>
                                      <w:color w:val="000000"/>
                                      <w:sz w:val="20"/>
                                      <w:szCs w:val="20"/>
                                      <w:lang w:val="zh-CN"/>
                                    </w:rPr>
                                  </w:pPr>
                                  <w:r>
                                    <w:rPr>
                                      <w:b/>
                                      <w:bCs/>
                                      <w:color w:val="000000"/>
                                      <w:sz w:val="20"/>
                                      <w:szCs w:val="20"/>
                                      <w:lang w:val="zh-CN"/>
                                    </w:rPr>
                                    <w:t>Numbers</w:t>
                                  </w:r>
                                </w:p>
                              </w:tc>
                              <w:tc>
                                <w:tcPr>
                                  <w:tcW w:w="860" w:type="dxa"/>
                                  <w:tcBorders>
                                    <w:top w:val="single" w:color="000000" w:sz="4" w:space="0"/>
                                    <w:left w:val="single" w:color="000000" w:sz="4" w:space="0"/>
                                    <w:bottom w:val="single" w:color="000000" w:sz="4" w:space="0"/>
                                    <w:right w:val="single" w:color="000000" w:sz="4" w:space="0"/>
                                  </w:tcBorders>
                                  <w:shd w:val="clear" w:color="auto" w:fill="D0CECE"/>
                                  <w:vAlign w:val="bottom"/>
                                </w:tcPr>
                                <w:p>
                                  <w:pPr>
                                    <w:jc w:val="center"/>
                                    <w:rPr>
                                      <w:b/>
                                      <w:bCs/>
                                      <w:color w:val="000000"/>
                                      <w:sz w:val="20"/>
                                      <w:szCs w:val="20"/>
                                    </w:rPr>
                                  </w:pPr>
                                  <w:r>
                                    <w:rPr>
                                      <w:b/>
                                      <w:bCs/>
                                      <w:color w:val="000000"/>
                                      <w:sz w:val="20"/>
                                      <w:szCs w:val="20"/>
                                    </w:rPr>
                                    <w:t>%</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Improvement of RE regulation</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13</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25,5</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2</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RE funding, incentives and tax deductions</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13</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25,5</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3</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Measurement of emission reduction (MRV)</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8</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15,7</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4</w:t>
                                  </w:r>
                                </w:p>
                              </w:tc>
                              <w:tc>
                                <w:tcPr>
                                  <w:tcW w:w="4764" w:type="dxa"/>
                                  <w:tcBorders>
                                    <w:top w:val="single" w:color="000000" w:sz="4" w:space="0"/>
                                    <w:left w:val="single" w:color="000000" w:sz="4" w:space="0"/>
                                    <w:bottom w:val="single" w:color="000000" w:sz="4" w:space="0"/>
                                    <w:right w:val="single" w:color="000000" w:sz="4" w:space="0"/>
                                  </w:tcBorders>
                                  <w:vAlign w:val="center"/>
                                </w:tcPr>
                                <w:p>
                                  <w:pPr>
                                    <w:rPr>
                                      <w:color w:val="000000"/>
                                      <w:sz w:val="20"/>
                                      <w:szCs w:val="20"/>
                                    </w:rPr>
                                  </w:pPr>
                                  <w:r>
                                    <w:rPr>
                                      <w:color w:val="222222"/>
                                      <w:sz w:val="20"/>
                                      <w:szCs w:val="20"/>
                                      <w:lang w:val="en" w:eastAsia="zh-CN"/>
                                    </w:rPr>
                                    <w:t xml:space="preserve"> Carbon market mechanism, carbon trading, carbon tax</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9,8</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RE as policy priority</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9,8</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6</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Energy conservation</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4</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7,8</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7</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000000"/>
                                      <w:sz w:val="20"/>
                                      <w:szCs w:val="20"/>
                                    </w:rPr>
                                    <w:t>R</w:t>
                                  </w:r>
                                  <w:r>
                                    <w:rPr>
                                      <w:color w:val="222222"/>
                                      <w:sz w:val="20"/>
                                      <w:szCs w:val="20"/>
                                      <w:lang w:val="en" w:eastAsia="zh-CN"/>
                                    </w:rPr>
                                    <w:t>evocation of energy subsidy</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3</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5,9</w:t>
                                  </w:r>
                                </w:p>
                              </w:tc>
                            </w:tr>
                            <w:tr>
                              <w:tblPrEx>
                                <w:tblLayout w:type="fixed"/>
                                <w:tblCellMar>
                                  <w:top w:w="15" w:type="dxa"/>
                                  <w:left w:w="15" w:type="dxa"/>
                                  <w:bottom w:w="15" w:type="dxa"/>
                                  <w:right w:w="15" w:type="dxa"/>
                                </w:tblCellMar>
                              </w:tblPrEx>
                              <w:trPr>
                                <w:trHeight w:val="286" w:hRule="atLeast"/>
                              </w:trPr>
                              <w:tc>
                                <w:tcPr>
                                  <w:tcW w:w="5378" w:type="dxa"/>
                                  <w:gridSpan w:val="2"/>
                                  <w:tcBorders>
                                    <w:top w:val="single" w:color="000000" w:sz="4" w:space="0"/>
                                    <w:left w:val="single" w:color="000000" w:sz="4" w:space="0"/>
                                    <w:bottom w:val="single" w:color="000000" w:sz="4" w:space="0"/>
                                    <w:right w:val="single" w:color="000000" w:sz="4" w:space="0"/>
                                  </w:tcBorders>
                                  <w:vAlign w:val="bottom"/>
                                </w:tcPr>
                                <w:p>
                                  <w:pPr>
                                    <w:jc w:val="right"/>
                                    <w:rPr>
                                      <w:color w:val="000000"/>
                                      <w:sz w:val="20"/>
                                      <w:szCs w:val="20"/>
                                    </w:rPr>
                                  </w:pPr>
                                  <w:r>
                                    <w:rPr>
                                      <w:color w:val="000000"/>
                                      <w:sz w:val="20"/>
                                      <w:szCs w:val="20"/>
                                    </w:rPr>
                                    <w:t>Total</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51</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100</w:t>
                                  </w:r>
                                </w:p>
                              </w:tc>
                            </w:tr>
                          </w:tbl>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85pt;margin-top:9.9pt;height:176.35pt;width:369.2pt;z-index:251659264;v-text-anchor:middle;mso-width-relative:page;mso-height-relative:page;" fillcolor="#FFFFFF [3201]" filled="t" stroked="f" coordsize="21600,21600" o:gfxdata="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lELoV2QAAAAkBAAAPAAAAAAAA&#10;AAEAIAAAACIAAABkcnMvZG93bnJldi54bWxQSwECFAAUAAAACACHTuJAlaGXQEoCAACMBAAADgAA&#10;AAAAAAABACAAAAAoAQAAZHJzL2Uyb0RvYy54bWxQSwUGAAAAAAYABgBZAQAA5AUAAAAA&#10;">
                <v:fill on="t" focussize="0,0"/>
                <v:stroke on="f" weight="1pt" miterlimit="8" joinstyle="miter"/>
                <v:imagedata o:title=""/>
                <o:lock v:ext="edit" aspectratio="f"/>
                <v:textbox>
                  <w:txbxContent>
                    <w:tbl>
                      <w:tblPr>
                        <w:tblStyle w:val="6"/>
                        <w:tblW w:w="7170" w:type="dxa"/>
                        <w:tblInd w:w="0" w:type="dxa"/>
                        <w:tblLayout w:type="fixed"/>
                        <w:tblCellMar>
                          <w:top w:w="15" w:type="dxa"/>
                          <w:left w:w="15" w:type="dxa"/>
                          <w:bottom w:w="15" w:type="dxa"/>
                          <w:right w:w="15" w:type="dxa"/>
                        </w:tblCellMar>
                      </w:tblPr>
                      <w:tblGrid>
                        <w:gridCol w:w="614"/>
                        <w:gridCol w:w="4764"/>
                        <w:gridCol w:w="932"/>
                        <w:gridCol w:w="860"/>
                      </w:tblGrid>
                      <w:tr>
                        <w:tblPrEx>
                          <w:tblLayout w:type="fixed"/>
                          <w:tblCellMar>
                            <w:top w:w="15" w:type="dxa"/>
                            <w:left w:w="15" w:type="dxa"/>
                            <w:bottom w:w="15" w:type="dxa"/>
                            <w:right w:w="15"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jc w:val="center"/>
                              <w:rPr>
                                <w:b/>
                                <w:bCs/>
                                <w:color w:val="000000"/>
                                <w:sz w:val="20"/>
                                <w:szCs w:val="20"/>
                              </w:rPr>
                            </w:pPr>
                            <w:r>
                              <w:rPr>
                                <w:b/>
                                <w:bCs/>
                                <w:color w:val="000000"/>
                                <w:sz w:val="20"/>
                                <w:szCs w:val="20"/>
                              </w:rPr>
                              <w:t>No</w:t>
                            </w:r>
                          </w:p>
                        </w:tc>
                        <w:tc>
                          <w:tcPr>
                            <w:tcW w:w="4764" w:type="dxa"/>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pPr>
                              <w:jc w:val="center"/>
                              <w:rPr>
                                <w:color w:val="222222"/>
                                <w:sz w:val="20"/>
                                <w:szCs w:val="20"/>
                                <w:lang w:val="en" w:eastAsia="zh-CN"/>
                              </w:rPr>
                            </w:pPr>
                          </w:p>
                          <w:p>
                            <w:pPr>
                              <w:jc w:val="center"/>
                              <w:rPr>
                                <w:color w:val="222222"/>
                                <w:sz w:val="20"/>
                                <w:szCs w:val="20"/>
                                <w:lang w:val="en" w:eastAsia="zh-CN"/>
                              </w:rPr>
                            </w:pPr>
                          </w:p>
                          <w:p>
                            <w:pPr>
                              <w:jc w:val="center"/>
                              <w:rPr>
                                <w:b/>
                                <w:bCs/>
                                <w:color w:val="000000"/>
                                <w:sz w:val="20"/>
                                <w:szCs w:val="20"/>
                              </w:rPr>
                            </w:pPr>
                            <w:r>
                              <w:rPr>
                                <w:color w:val="222222"/>
                                <w:sz w:val="20"/>
                                <w:szCs w:val="20"/>
                                <w:lang w:val="en" w:eastAsia="zh-CN"/>
                              </w:rPr>
                              <w:t>Solutions for Supporting Renewable Energy (RE)</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D0CECE"/>
                            <w:vAlign w:val="bottom"/>
                          </w:tcPr>
                          <w:p>
                            <w:pPr>
                              <w:jc w:val="center"/>
                              <w:rPr>
                                <w:b/>
                                <w:bCs/>
                                <w:color w:val="000000"/>
                                <w:sz w:val="20"/>
                                <w:szCs w:val="20"/>
                              </w:rPr>
                            </w:pPr>
                            <w:r>
                              <w:rPr>
                                <w:b/>
                                <w:bCs/>
                                <w:color w:val="000000"/>
                                <w:sz w:val="20"/>
                                <w:szCs w:val="20"/>
                                <w:lang w:val="zh-CN"/>
                              </w:rPr>
                              <w:t>Supporting</w:t>
                            </w:r>
                          </w:p>
                        </w:tc>
                      </w:tr>
                      <w:tr>
                        <w:tblPrEx>
                          <w:tblLayout w:type="fixed"/>
                          <w:tblCellMar>
                            <w:top w:w="15" w:type="dxa"/>
                            <w:left w:w="15" w:type="dxa"/>
                            <w:bottom w:w="15" w:type="dxa"/>
                            <w:right w:w="15" w:type="dxa"/>
                          </w:tblCellMar>
                        </w:tblPrEx>
                        <w:trPr>
                          <w:trHeight w:val="286" w:hRule="atLeast"/>
                        </w:trPr>
                        <w:tc>
                          <w:tcPr>
                            <w:tcW w:w="614" w:type="dxa"/>
                            <w:vMerge w:val="continue"/>
                            <w:tcBorders>
                              <w:top w:val="single" w:color="000000" w:sz="4" w:space="0"/>
                              <w:left w:val="single" w:color="000000" w:sz="4" w:space="0"/>
                              <w:bottom w:val="single" w:color="000000" w:sz="4" w:space="0"/>
                              <w:right w:val="single" w:color="000000" w:sz="4" w:space="0"/>
                            </w:tcBorders>
                            <w:vAlign w:val="center"/>
                          </w:tcPr>
                          <w:p>
                            <w:pPr>
                              <w:rPr>
                                <w:b/>
                                <w:bCs/>
                                <w:color w:val="000000"/>
                                <w:sz w:val="20"/>
                                <w:szCs w:val="20"/>
                              </w:rPr>
                            </w:pPr>
                          </w:p>
                        </w:tc>
                        <w:tc>
                          <w:tcPr>
                            <w:tcW w:w="4764" w:type="dxa"/>
                            <w:vMerge w:val="continue"/>
                            <w:tcBorders>
                              <w:top w:val="single" w:color="000000" w:sz="4" w:space="0"/>
                              <w:left w:val="single" w:color="000000" w:sz="4" w:space="0"/>
                              <w:bottom w:val="single" w:color="000000" w:sz="4" w:space="0"/>
                              <w:right w:val="single" w:color="000000" w:sz="4" w:space="0"/>
                            </w:tcBorders>
                            <w:vAlign w:val="center"/>
                          </w:tcPr>
                          <w:p>
                            <w:pPr>
                              <w:rPr>
                                <w:b/>
                                <w:bCs/>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shd w:val="clear" w:color="auto" w:fill="D0CECE"/>
                            <w:vAlign w:val="bottom"/>
                          </w:tcPr>
                          <w:p>
                            <w:pPr>
                              <w:jc w:val="center"/>
                              <w:rPr>
                                <w:b/>
                                <w:bCs/>
                                <w:color w:val="000000"/>
                                <w:sz w:val="20"/>
                                <w:szCs w:val="20"/>
                                <w:lang w:val="zh-CN"/>
                              </w:rPr>
                            </w:pPr>
                            <w:r>
                              <w:rPr>
                                <w:b/>
                                <w:bCs/>
                                <w:color w:val="000000"/>
                                <w:sz w:val="20"/>
                                <w:szCs w:val="20"/>
                                <w:lang w:val="zh-CN"/>
                              </w:rPr>
                              <w:t>Numbers</w:t>
                            </w:r>
                          </w:p>
                        </w:tc>
                        <w:tc>
                          <w:tcPr>
                            <w:tcW w:w="860" w:type="dxa"/>
                            <w:tcBorders>
                              <w:top w:val="single" w:color="000000" w:sz="4" w:space="0"/>
                              <w:left w:val="single" w:color="000000" w:sz="4" w:space="0"/>
                              <w:bottom w:val="single" w:color="000000" w:sz="4" w:space="0"/>
                              <w:right w:val="single" w:color="000000" w:sz="4" w:space="0"/>
                            </w:tcBorders>
                            <w:shd w:val="clear" w:color="auto" w:fill="D0CECE"/>
                            <w:vAlign w:val="bottom"/>
                          </w:tcPr>
                          <w:p>
                            <w:pPr>
                              <w:jc w:val="center"/>
                              <w:rPr>
                                <w:b/>
                                <w:bCs/>
                                <w:color w:val="000000"/>
                                <w:sz w:val="20"/>
                                <w:szCs w:val="20"/>
                              </w:rPr>
                            </w:pPr>
                            <w:r>
                              <w:rPr>
                                <w:b/>
                                <w:bCs/>
                                <w:color w:val="000000"/>
                                <w:sz w:val="20"/>
                                <w:szCs w:val="20"/>
                              </w:rPr>
                              <w:t>%</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Improvement of RE regulation</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13</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25,5</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2</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RE funding, incentives and tax deductions</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13</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25,5</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3</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Measurement of emission reduction (MRV)</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8</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15,7</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4</w:t>
                            </w:r>
                          </w:p>
                        </w:tc>
                        <w:tc>
                          <w:tcPr>
                            <w:tcW w:w="4764" w:type="dxa"/>
                            <w:tcBorders>
                              <w:top w:val="single" w:color="000000" w:sz="4" w:space="0"/>
                              <w:left w:val="single" w:color="000000" w:sz="4" w:space="0"/>
                              <w:bottom w:val="single" w:color="000000" w:sz="4" w:space="0"/>
                              <w:right w:val="single" w:color="000000" w:sz="4" w:space="0"/>
                            </w:tcBorders>
                            <w:vAlign w:val="center"/>
                          </w:tcPr>
                          <w:p>
                            <w:pPr>
                              <w:rPr>
                                <w:color w:val="000000"/>
                                <w:sz w:val="20"/>
                                <w:szCs w:val="20"/>
                              </w:rPr>
                            </w:pPr>
                            <w:r>
                              <w:rPr>
                                <w:color w:val="222222"/>
                                <w:sz w:val="20"/>
                                <w:szCs w:val="20"/>
                                <w:lang w:val="en" w:eastAsia="zh-CN"/>
                              </w:rPr>
                              <w:t xml:space="preserve"> Carbon market mechanism, carbon trading, carbon tax</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9,8</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RE as policy priority</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9,8</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6</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222222"/>
                                <w:sz w:val="20"/>
                                <w:szCs w:val="20"/>
                                <w:lang w:val="en" w:eastAsia="zh-CN"/>
                              </w:rPr>
                              <w:t>Energy conservation</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4</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7,8</w:t>
                            </w:r>
                          </w:p>
                        </w:tc>
                      </w:tr>
                      <w:tr>
                        <w:tblPrEx>
                          <w:tblLayout w:type="fixed"/>
                          <w:tblCellMar>
                            <w:top w:w="15" w:type="dxa"/>
                            <w:left w:w="15" w:type="dxa"/>
                            <w:bottom w:w="15" w:type="dxa"/>
                            <w:right w:w="15" w:type="dxa"/>
                          </w:tblCellMar>
                        </w:tblPrEx>
                        <w:trPr>
                          <w:trHeight w:val="286" w:hRule="atLeast"/>
                        </w:trPr>
                        <w:tc>
                          <w:tcPr>
                            <w:tcW w:w="614"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7</w:t>
                            </w:r>
                          </w:p>
                        </w:tc>
                        <w:tc>
                          <w:tcPr>
                            <w:tcW w:w="4764" w:type="dxa"/>
                            <w:tcBorders>
                              <w:top w:val="single" w:color="000000" w:sz="4" w:space="0"/>
                              <w:left w:val="single" w:color="000000" w:sz="4" w:space="0"/>
                              <w:bottom w:val="single" w:color="000000" w:sz="4" w:space="0"/>
                              <w:right w:val="single" w:color="000000" w:sz="4" w:space="0"/>
                            </w:tcBorders>
                            <w:vAlign w:val="bottom"/>
                          </w:tcPr>
                          <w:p>
                            <w:pPr>
                              <w:rPr>
                                <w:color w:val="000000"/>
                                <w:sz w:val="20"/>
                                <w:szCs w:val="20"/>
                              </w:rPr>
                            </w:pPr>
                            <w:r>
                              <w:rPr>
                                <w:color w:val="000000"/>
                                <w:sz w:val="20"/>
                                <w:szCs w:val="20"/>
                              </w:rPr>
                              <w:t>R</w:t>
                            </w:r>
                            <w:r>
                              <w:rPr>
                                <w:color w:val="222222"/>
                                <w:sz w:val="20"/>
                                <w:szCs w:val="20"/>
                                <w:lang w:val="en" w:eastAsia="zh-CN"/>
                              </w:rPr>
                              <w:t>evocation of energy subsidy</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3</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5,9</w:t>
                            </w:r>
                          </w:p>
                        </w:tc>
                      </w:tr>
                      <w:tr>
                        <w:tblPrEx>
                          <w:tblLayout w:type="fixed"/>
                          <w:tblCellMar>
                            <w:top w:w="15" w:type="dxa"/>
                            <w:left w:w="15" w:type="dxa"/>
                            <w:bottom w:w="15" w:type="dxa"/>
                            <w:right w:w="15" w:type="dxa"/>
                          </w:tblCellMar>
                        </w:tblPrEx>
                        <w:trPr>
                          <w:trHeight w:val="286" w:hRule="atLeast"/>
                        </w:trPr>
                        <w:tc>
                          <w:tcPr>
                            <w:tcW w:w="5378" w:type="dxa"/>
                            <w:gridSpan w:val="2"/>
                            <w:tcBorders>
                              <w:top w:val="single" w:color="000000" w:sz="4" w:space="0"/>
                              <w:left w:val="single" w:color="000000" w:sz="4" w:space="0"/>
                              <w:bottom w:val="single" w:color="000000" w:sz="4" w:space="0"/>
                              <w:right w:val="single" w:color="000000" w:sz="4" w:space="0"/>
                            </w:tcBorders>
                            <w:vAlign w:val="bottom"/>
                          </w:tcPr>
                          <w:p>
                            <w:pPr>
                              <w:jc w:val="right"/>
                              <w:rPr>
                                <w:color w:val="000000"/>
                                <w:sz w:val="20"/>
                                <w:szCs w:val="20"/>
                              </w:rPr>
                            </w:pPr>
                            <w:r>
                              <w:rPr>
                                <w:color w:val="000000"/>
                                <w:sz w:val="20"/>
                                <w:szCs w:val="20"/>
                              </w:rPr>
                              <w:t>Total</w:t>
                            </w:r>
                          </w:p>
                        </w:tc>
                        <w:tc>
                          <w:tcPr>
                            <w:tcW w:w="932"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51</w:t>
                            </w:r>
                          </w:p>
                        </w:tc>
                        <w:tc>
                          <w:tcPr>
                            <w:tcW w:w="860" w:type="dxa"/>
                            <w:tcBorders>
                              <w:top w:val="single" w:color="000000" w:sz="4" w:space="0"/>
                              <w:left w:val="single" w:color="000000" w:sz="4" w:space="0"/>
                              <w:bottom w:val="single" w:color="000000" w:sz="4" w:space="0"/>
                              <w:right w:val="single" w:color="000000" w:sz="4" w:space="0"/>
                            </w:tcBorders>
                            <w:vAlign w:val="bottom"/>
                          </w:tcPr>
                          <w:p>
                            <w:pPr>
                              <w:jc w:val="center"/>
                              <w:rPr>
                                <w:color w:val="000000"/>
                                <w:sz w:val="20"/>
                                <w:szCs w:val="20"/>
                              </w:rPr>
                            </w:pPr>
                            <w:r>
                              <w:rPr>
                                <w:color w:val="000000"/>
                                <w:sz w:val="20"/>
                                <w:szCs w:val="20"/>
                              </w:rPr>
                              <w:t>100</w:t>
                            </w:r>
                          </w:p>
                        </w:tc>
                      </w:tr>
                    </w:tbl>
                    <w:p>
                      <w:pPr>
                        <w:jc w:val="center"/>
                      </w:pPr>
                    </w:p>
                  </w:txbxContent>
                </v:textbox>
              </v:rect>
            </w:pict>
          </mc:Fallback>
        </mc:AlternateContent>
      </w:r>
    </w:p>
    <w:p>
      <w:pPr>
        <w:spacing w:line="276" w:lineRule="auto"/>
        <w:jc w:val="both"/>
      </w:pPr>
    </w:p>
    <w:p>
      <w:pPr>
        <w:spacing w:line="276" w:lineRule="auto"/>
        <w:jc w:val="both"/>
      </w:pPr>
    </w:p>
    <w:p>
      <w:pPr>
        <w:spacing w:line="276" w:lineRule="auto"/>
        <w:jc w:val="both"/>
      </w:pPr>
    </w:p>
    <w:p>
      <w:pPr>
        <w:spacing w:line="276" w:lineRule="auto"/>
        <w:jc w:val="both"/>
      </w:pPr>
    </w:p>
    <w:p>
      <w:pPr>
        <w:spacing w:line="276" w:lineRule="auto"/>
        <w:jc w:val="both"/>
      </w:pPr>
    </w:p>
    <w:p>
      <w:pPr>
        <w:spacing w:line="276" w:lineRule="auto"/>
        <w:jc w:val="both"/>
        <w:rPr>
          <w:bCs/>
        </w:rPr>
      </w:pPr>
    </w:p>
    <w:p>
      <w:pPr>
        <w:spacing w:line="276" w:lineRule="auto"/>
        <w:jc w:val="both"/>
        <w:rPr>
          <w:bCs/>
        </w:rPr>
      </w:pPr>
    </w:p>
    <w:p>
      <w:pPr>
        <w:spacing w:line="276" w:lineRule="auto"/>
        <w:jc w:val="both"/>
        <w:rPr>
          <w:bCs/>
        </w:rPr>
      </w:pPr>
    </w:p>
    <w:p>
      <w:pPr>
        <w:spacing w:line="276" w:lineRule="auto"/>
        <w:jc w:val="both"/>
        <w:rPr>
          <w:bCs/>
        </w:rPr>
      </w:pPr>
    </w:p>
    <w:p>
      <w:pPr>
        <w:spacing w:line="276" w:lineRule="auto"/>
        <w:jc w:val="both"/>
        <w:rPr>
          <w:bCs/>
        </w:rPr>
      </w:pPr>
    </w:p>
    <w:p>
      <w:pPr>
        <w:spacing w:line="276" w:lineRule="auto"/>
        <w:jc w:val="both"/>
        <w:rPr>
          <w:bCs/>
        </w:rPr>
      </w:pPr>
    </w:p>
    <w:p>
      <w:pPr>
        <w:spacing w:line="276" w:lineRule="auto"/>
        <w:ind w:left="220"/>
        <w:jc w:val="center"/>
        <w:rPr>
          <w:bCs/>
          <w:sz w:val="20"/>
          <w:szCs w:val="20"/>
        </w:rPr>
      </w:pPr>
      <w:r>
        <w:rPr>
          <w:bCs/>
          <w:sz w:val="20"/>
          <w:szCs w:val="20"/>
        </w:rPr>
        <w:t xml:space="preserve">Table 2. </w:t>
      </w:r>
      <w:r>
        <w:rPr>
          <w:rFonts w:eastAsia="SimSun"/>
          <w:bCs/>
          <w:sz w:val="20"/>
          <w:szCs w:val="20"/>
          <w:lang w:eastAsia="zh-CN" w:bidi="ar"/>
        </w:rPr>
        <w:t>Recommendation for solutions</w:t>
      </w:r>
    </w:p>
    <w:p>
      <w:pPr>
        <w:spacing w:line="276" w:lineRule="auto"/>
        <w:jc w:val="both"/>
        <w:rPr>
          <w:bCs/>
        </w:rPr>
      </w:pPr>
    </w:p>
    <w:p>
      <w:pPr>
        <w:spacing w:line="276" w:lineRule="auto"/>
        <w:jc w:val="both"/>
        <w:rPr>
          <w:bCs/>
        </w:rPr>
      </w:pPr>
      <w:r>
        <w:rPr>
          <w:bCs/>
        </w:rPr>
        <w:t>The next question is “can Indonesia achieve the NDC target by taking these solutions?”. An overview of the Climate Action Tracker shows that Indonesia will not achieve the expected target, even though it has strived for the solutions as above.</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Nowadays</w:t>
      </w:r>
      <w:r>
        <w:rPr>
          <w:bCs/>
          <w:lang w:val="en-US"/>
        </w:rPr>
        <w:t xml:space="preserve">, </w:t>
      </w:r>
      <w:r>
        <w:rPr>
          <w:bCs/>
        </w:rPr>
        <w:t xml:space="preserve">Indonesia's energy policy itself still </w:t>
      </w:r>
      <w:r>
        <w:rPr>
          <w:bCs/>
          <w:lang w:val="en-US"/>
        </w:rPr>
        <w:t>relies</w:t>
      </w:r>
      <w:r>
        <w:rPr>
          <w:bCs/>
        </w:rPr>
        <w:t xml:space="preserve"> on coal</w:t>
      </w:r>
      <w:r>
        <w:rPr>
          <w:bCs/>
          <w:lang w:val="en-US"/>
        </w:rPr>
        <w:t xml:space="preserve"> energy</w:t>
      </w:r>
      <w:r>
        <w:rPr>
          <w:bCs/>
        </w:rPr>
        <w:t xml:space="preserve"> </w:t>
      </w:r>
      <w:r>
        <w:rPr>
          <w:bCs/>
          <w:lang w:val="en-US"/>
        </w:rPr>
        <w:t xml:space="preserve">rather than </w:t>
      </w:r>
      <w:r>
        <w:rPr>
          <w:bCs/>
        </w:rPr>
        <w:t xml:space="preserve">renewable energy because the </w:t>
      </w:r>
      <w:r>
        <w:rPr>
          <w:bCs/>
          <w:lang w:val="en-US"/>
        </w:rPr>
        <w:t>cost</w:t>
      </w:r>
      <w:r>
        <w:rPr>
          <w:bCs/>
        </w:rPr>
        <w:t xml:space="preserve"> of </w:t>
      </w:r>
      <w:r>
        <w:rPr>
          <w:bCs/>
          <w:lang w:val="en-US"/>
        </w:rPr>
        <w:t>its</w:t>
      </w:r>
      <w:r>
        <w:rPr>
          <w:bCs/>
        </w:rPr>
        <w:t xml:space="preserve"> </w:t>
      </w:r>
      <w:r>
        <w:rPr>
          <w:bCs/>
          <w:lang w:val="en-US"/>
        </w:rPr>
        <w:t>power-plants</w:t>
      </w:r>
      <w:r>
        <w:rPr>
          <w:bCs/>
        </w:rPr>
        <w:t xml:space="preserve"> is </w:t>
      </w:r>
      <w:r>
        <w:rPr>
          <w:bCs/>
          <w:lang w:val="en-US"/>
        </w:rPr>
        <w:t>low</w:t>
      </w:r>
      <w:r>
        <w:rPr>
          <w:bCs/>
        </w:rPr>
        <w:t>er. Indonesia is the largest coal producer in the world in which from 2008 to 2018, Indonesia has enhanced  27 GW for the coal plants meanwhile the EBT plants was only 15 GW. In consequence, Indonesia is still considered to maintain high-carbon development</w:t>
      </w:r>
    </w:p>
    <w:p>
      <w:pPr>
        <w:pStyle w:val="2"/>
        <w:spacing w:before="0" w:beforeAutospacing="0" w:after="0" w:afterAutospacing="0" w:line="276" w:lineRule="auto"/>
        <w:jc w:val="both"/>
        <w:rPr>
          <w:b/>
        </w:rPr>
      </w:pPr>
    </w:p>
    <w:p>
      <w:pPr>
        <w:pStyle w:val="2"/>
        <w:spacing w:before="0" w:beforeAutospacing="0" w:after="0" w:afterAutospacing="0" w:line="276" w:lineRule="auto"/>
        <w:jc w:val="both"/>
        <w:rPr>
          <w:b/>
        </w:rPr>
      </w:pPr>
      <w:r>
        <w:rPr>
          <w:b/>
        </w:rPr>
        <w:t>Impact, application, and u</w:t>
      </w:r>
      <w:r>
        <w:rPr>
          <w:b/>
          <w:lang w:val="en-US"/>
        </w:rPr>
        <w:t xml:space="preserve">se </w:t>
      </w:r>
      <w:r>
        <w:rPr>
          <w:b/>
        </w:rPr>
        <w:t>of the Paris Agreement on the energy sector in Indonesia</w:t>
      </w:r>
    </w:p>
    <w:p>
      <w:pPr>
        <w:pStyle w:val="2"/>
        <w:spacing w:before="0" w:beforeAutospacing="0" w:after="0" w:afterAutospacing="0" w:line="276" w:lineRule="auto"/>
        <w:jc w:val="both"/>
        <w:rPr>
          <w:b/>
        </w:rPr>
      </w:pPr>
    </w:p>
    <w:p>
      <w:pPr>
        <w:pStyle w:val="2"/>
        <w:spacing w:before="0" w:beforeAutospacing="0" w:after="0" w:afterAutospacing="0" w:line="276" w:lineRule="auto"/>
        <w:jc w:val="both"/>
        <w:rPr>
          <w:bCs/>
        </w:rPr>
      </w:pPr>
      <w:r>
        <w:rPr>
          <w:bCs/>
        </w:rPr>
        <w:t>The Paris Agreement is an effort to prevent an increase in global warming above 2 degrees Celsius which will have a negative impact on climate change. In the Paris Agreement, there are many ways to reduce global warming, for example by protecting forests and reducing CO2 burning to reduce greenhouse gases (GHG) and so on.</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 xml:space="preserve">One of the </w:t>
      </w:r>
      <w:r>
        <w:rPr>
          <w:bCs/>
          <w:lang w:val="en-US"/>
        </w:rPr>
        <w:t>factors</w:t>
      </w:r>
      <w:r>
        <w:rPr>
          <w:bCs/>
        </w:rPr>
        <w:t xml:space="preserve"> for this increase in greenhouse gas emissions is the increase in the use of private vehicles for transportation, including the use of high-carbon coal power plants.</w:t>
      </w:r>
    </w:p>
    <w:p>
      <w:pPr>
        <w:pStyle w:val="2"/>
        <w:spacing w:before="0" w:beforeAutospacing="0" w:after="0" w:afterAutospacing="0" w:line="276" w:lineRule="auto"/>
        <w:jc w:val="both"/>
        <w:rPr>
          <w:bCs/>
        </w:rPr>
      </w:pPr>
      <w:r>
        <w:rPr>
          <w:bCs/>
        </w:rPr>
        <w:t>In the Paris Agreement, the use of renewable energy (EBT) is an option to reduce GHG emissions. For Indonesia itself, ratifying the Paris Agreement is a wise choice because it will have a good impact, for example, the EBT can grow and Indonesia can shift from relying on fossil-fuels to EBT later on.</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 xml:space="preserve">However, the realization was not as easy as </w:t>
      </w:r>
      <w:r>
        <w:rPr>
          <w:bCs/>
          <w:lang w:val="en-US"/>
        </w:rPr>
        <w:t xml:space="preserve">the </w:t>
      </w:r>
      <w:r>
        <w:rPr>
          <w:bCs/>
        </w:rPr>
        <w:t xml:space="preserve">expected. As we know, the energy sector </w:t>
      </w:r>
      <w:r>
        <w:rPr>
          <w:bCs/>
          <w:lang w:val="en-US"/>
        </w:rPr>
        <w:t>often becomes a</w:t>
      </w:r>
      <w:r>
        <w:rPr>
          <w:bCs/>
        </w:rPr>
        <w:t xml:space="preserve"> major problem in fuel oil (BBM) and electricity</w:t>
      </w:r>
      <w:r>
        <w:rPr>
          <w:bCs/>
          <w:lang w:val="en-US"/>
        </w:rPr>
        <w:t xml:space="preserve"> </w:t>
      </w:r>
      <w:r>
        <w:rPr>
          <w:bCs/>
        </w:rPr>
        <w:t>issue</w:t>
      </w:r>
      <w:r>
        <w:rPr>
          <w:bCs/>
          <w:lang w:val="en-US"/>
        </w:rPr>
        <w:t>s</w:t>
      </w:r>
      <w:r>
        <w:rPr>
          <w:bCs/>
        </w:rPr>
        <w:t xml:space="preserve">. These two issues are often used as political commodities because they involve </w:t>
      </w:r>
      <w:r>
        <w:rPr>
          <w:bCs/>
          <w:lang w:val="en-US"/>
        </w:rPr>
        <w:t xml:space="preserve">the </w:t>
      </w:r>
      <w:r>
        <w:rPr>
          <w:bCs/>
        </w:rPr>
        <w:t>subsidies for the poor.</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 xml:space="preserve">Therefore, Indonesia cannot immediately change its energy policy to be fully EBT because it is </w:t>
      </w:r>
      <w:r>
        <w:rPr>
          <w:bCs/>
          <w:lang w:val="en-US"/>
        </w:rPr>
        <w:t>difficult</w:t>
      </w:r>
      <w:r>
        <w:rPr>
          <w:bCs/>
        </w:rPr>
        <w:t xml:space="preserve"> for the government to provide EBT subsidies for the community with such huge needs. Thus, the development of EBT in Indonesia is constrained by political commodities and reality that the government has not been able to provide subsidies at EBT prices.</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PT PLN itself as a state-owned electricity company still focuses on the use of coal</w:t>
      </w:r>
      <w:r>
        <w:rPr>
          <w:bCs/>
          <w:lang w:val="en-US"/>
        </w:rPr>
        <w:t>, meanwhile t</w:t>
      </w:r>
      <w:r>
        <w:rPr>
          <w:bCs/>
        </w:rPr>
        <w:t xml:space="preserve">o use geothermal energy requires a large investment, especially </w:t>
      </w:r>
      <w:r>
        <w:rPr>
          <w:bCs/>
          <w:lang w:val="en-US"/>
        </w:rPr>
        <w:t>in term of</w:t>
      </w:r>
      <w:r>
        <w:rPr>
          <w:bCs/>
        </w:rPr>
        <w:t xml:space="preserve"> the technology.</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As quoted from IRENA, 23 percent</w:t>
      </w:r>
      <w:r>
        <w:rPr>
          <w:bCs/>
          <w:lang w:val="en-US"/>
        </w:rPr>
        <w:t xml:space="preserve"> of</w:t>
      </w:r>
      <w:r>
        <w:rPr>
          <w:bCs/>
        </w:rPr>
        <w:t xml:space="preserve"> the energy mix will require an investment of 7.9 billion US dollars per year from 2015 to 2030. Meanwhile, the ESDM Ministry targets EBT investment in 2018 for 2 billion US dollars</w:t>
      </w:r>
      <w:r>
        <w:rPr>
          <w:bCs/>
          <w:lang w:val="en-US"/>
        </w:rPr>
        <w:t>,</w:t>
      </w:r>
      <w:r>
        <w:rPr>
          <w:bCs/>
        </w:rPr>
        <w:t xml:space="preserve"> </w:t>
      </w:r>
      <w:r>
        <w:rPr>
          <w:bCs/>
          <w:lang w:val="en-US"/>
        </w:rPr>
        <w:t>and a</w:t>
      </w:r>
      <w:r>
        <w:rPr>
          <w:bCs/>
        </w:rPr>
        <w:t>s of October 2018, the EBT investment realized was only 1.16 billion US dollars.</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The</w:t>
      </w:r>
      <w:r>
        <w:rPr>
          <w:bCs/>
          <w:lang w:val="en-US"/>
        </w:rPr>
        <w:t xml:space="preserve"> </w:t>
      </w:r>
      <w:r>
        <w:rPr>
          <w:bCs/>
        </w:rPr>
        <w:t>record</w:t>
      </w:r>
      <w:r>
        <w:rPr>
          <w:bCs/>
          <w:lang w:val="en-US"/>
        </w:rPr>
        <w:t xml:space="preserve"> of the</w:t>
      </w:r>
      <w:r>
        <w:rPr>
          <w:bCs/>
        </w:rPr>
        <w:t xml:space="preserve"> Institute for Essential Service Reform (IESR) shows that </w:t>
      </w:r>
      <w:r>
        <w:rPr>
          <w:bCs/>
          <w:lang w:val="en-US"/>
        </w:rPr>
        <w:t xml:space="preserve">during </w:t>
      </w:r>
      <w:r>
        <w:rPr>
          <w:bCs/>
        </w:rPr>
        <w:t>the past five years EBT investment has not significantly risen yet and even tend</w:t>
      </w:r>
      <w:r>
        <w:rPr>
          <w:bCs/>
          <w:lang w:val="en-US"/>
        </w:rPr>
        <w:t>ed</w:t>
      </w:r>
      <w:r>
        <w:rPr>
          <w:bCs/>
        </w:rPr>
        <w:t xml:space="preserve"> to decline. The investment achieved in 2015 was only 45 percent of the target set by ESDM. This gap is due to the realization of the construction of solar, wind and water EBT plants that have not been fulfilled.</w:t>
      </w:r>
    </w:p>
    <w:p>
      <w:pPr>
        <w:spacing w:line="276" w:lineRule="auto"/>
        <w:jc w:val="both"/>
      </w:pPr>
    </w:p>
    <w:p>
      <w:pPr>
        <w:spacing w:line="276" w:lineRule="auto"/>
        <w:jc w:val="both"/>
      </w:pPr>
      <w:r>
        <w:t>The following is an overview of EBT investments in Indonesia in 2012-2019:</w:t>
      </w:r>
    </w:p>
    <w:p>
      <w:pPr>
        <w:spacing w:line="276" w:lineRule="auto"/>
        <w:ind w:left="720"/>
        <w:jc w:val="both"/>
      </w:pPr>
      <w:r>
        <w:drawing>
          <wp:inline distT="0" distB="0" distL="114300" distR="114300">
            <wp:extent cx="4394835" cy="2402840"/>
            <wp:effectExtent l="0" t="0" r="24765" b="1016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276" w:lineRule="auto"/>
        <w:jc w:val="center"/>
        <w:rPr>
          <w:sz w:val="20"/>
          <w:szCs w:val="20"/>
        </w:rPr>
      </w:pPr>
      <w:r>
        <w:rPr>
          <w:sz w:val="20"/>
          <w:szCs w:val="20"/>
        </w:rPr>
        <w:t>Graphic 1. Development of Investment in Indonesia</w:t>
      </w:r>
    </w:p>
    <w:p>
      <w:pPr>
        <w:spacing w:line="276" w:lineRule="auto"/>
        <w:jc w:val="both"/>
        <w:rPr>
          <w:sz w:val="20"/>
          <w:szCs w:val="20"/>
        </w:rPr>
      </w:pPr>
    </w:p>
    <w:p>
      <w:pPr>
        <w:pStyle w:val="2"/>
        <w:spacing w:before="0" w:beforeAutospacing="0" w:after="0" w:afterAutospacing="0" w:line="276" w:lineRule="auto"/>
        <w:jc w:val="both"/>
        <w:rPr>
          <w:bCs/>
        </w:rPr>
      </w:pPr>
      <w:r>
        <w:rPr>
          <w:bCs/>
        </w:rPr>
        <w:t>This shows that in order to achieve a significant increase in the u</w:t>
      </w:r>
      <w:r>
        <w:rPr>
          <w:bCs/>
          <w:lang w:val="en-US"/>
        </w:rPr>
        <w:t>se</w:t>
      </w:r>
      <w:r>
        <w:rPr>
          <w:bCs/>
        </w:rPr>
        <w:t xml:space="preserve"> of EBT to replace fossil energy, Indonesia cannot be done at this time without the maturity of EBT technology.For example, the policy of using electric cars </w:t>
      </w:r>
      <w:r>
        <w:rPr>
          <w:bCs/>
          <w:lang w:val="en-US"/>
        </w:rPr>
        <w:t>and</w:t>
      </w:r>
      <w:r>
        <w:rPr>
          <w:bCs/>
        </w:rPr>
        <w:t xml:space="preserve"> energy</w:t>
      </w:r>
      <w:r>
        <w:rPr>
          <w:bCs/>
          <w:lang w:val="en-US"/>
        </w:rPr>
        <w:t>-</w:t>
      </w:r>
      <w:r>
        <w:rPr>
          <w:bCs/>
        </w:rPr>
        <w:t xml:space="preserve">saving lamps to replace fossil energy would not be effective if there were no EBT factories that provided cheap raw materials. Thus, the existence of </w:t>
      </w:r>
      <w:r>
        <w:rPr>
          <w:bCs/>
          <w:lang w:val="en-US"/>
        </w:rPr>
        <w:t>tight</w:t>
      </w:r>
      <w:r>
        <w:rPr>
          <w:bCs/>
        </w:rPr>
        <w:t xml:space="preserve"> regulations can also hinder the use of EBT if it is not supported by a good EBT ecosystem.</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 xml:space="preserve">Another problem with the adoption of the Paris Agreement is the </w:t>
      </w:r>
      <w:r>
        <w:rPr>
          <w:bCs/>
          <w:lang w:val="en-US"/>
        </w:rPr>
        <w:t>matter</w:t>
      </w:r>
      <w:r>
        <w:rPr>
          <w:bCs/>
        </w:rPr>
        <w:t xml:space="preserve"> of the high </w:t>
      </w:r>
      <w:r>
        <w:rPr>
          <w:bCs/>
          <w:lang w:val="en-US"/>
        </w:rPr>
        <w:t>cost</w:t>
      </w:r>
      <w:r>
        <w:rPr>
          <w:bCs/>
        </w:rPr>
        <w:t xml:space="preserve"> of EBT electricity.</w:t>
      </w:r>
      <w:r>
        <w:rPr>
          <w:bCs/>
          <w:lang w:val="en-US"/>
        </w:rPr>
        <w:t xml:space="preserve"> </w:t>
      </w:r>
      <w:r>
        <w:rPr>
          <w:bCs/>
        </w:rPr>
        <w:t xml:space="preserve">In this case, the stipulation of the previous ESDM Ministerial Regulation namely ESDM Regulation Number 12 of 2017, EBT tariffs was held 85 percent of the production cost (BPP) to PLN. But in </w:t>
      </w:r>
      <w:r>
        <w:rPr>
          <w:bCs/>
          <w:lang w:val="en-US"/>
        </w:rPr>
        <w:t>the minister regulation</w:t>
      </w:r>
      <w:r>
        <w:rPr>
          <w:bCs/>
        </w:rPr>
        <w:t xml:space="preserve"> </w:t>
      </w:r>
      <w:r>
        <w:rPr>
          <w:bCs/>
          <w:lang w:val="en-US"/>
        </w:rPr>
        <w:t>n</w:t>
      </w:r>
      <w:r>
        <w:rPr>
          <w:bCs/>
        </w:rPr>
        <w:t>o. 50/2017, geothermal and Solar Power Plant</w:t>
      </w:r>
      <w:r>
        <w:rPr>
          <w:bCs/>
          <w:lang w:val="en-US"/>
        </w:rPr>
        <w:t xml:space="preserve"> </w:t>
      </w:r>
      <w:r>
        <w:rPr>
          <w:bCs/>
        </w:rPr>
        <w:t xml:space="preserve">will get a maximum tariff of 100 percent while other EBTs are still 85%. The determination of this regulation made EBT investors reluctant to </w:t>
      </w:r>
      <w:r>
        <w:rPr>
          <w:bCs/>
          <w:lang w:val="en-US"/>
        </w:rPr>
        <w:t>invest</w:t>
      </w:r>
      <w:r>
        <w:rPr>
          <w:bCs/>
        </w:rPr>
        <w:t xml:space="preserve">, and banks also objected to funding </w:t>
      </w:r>
      <w:r>
        <w:rPr>
          <w:bCs/>
          <w:lang w:val="en-US"/>
        </w:rPr>
        <w:t xml:space="preserve">the </w:t>
      </w:r>
      <w:r>
        <w:rPr>
          <w:bCs/>
        </w:rPr>
        <w:t xml:space="preserve">EBT projects, especially in Java and Bali. In </w:t>
      </w:r>
      <w:r>
        <w:rPr>
          <w:bCs/>
          <w:lang w:val="en-US"/>
        </w:rPr>
        <w:t>the ministry regulation</w:t>
      </w:r>
      <w:r>
        <w:rPr>
          <w:bCs/>
        </w:rPr>
        <w:t xml:space="preserve"> No. 50/2017, there is also a BOOT obligation for geothermal, hydro</w:t>
      </w:r>
      <w:r>
        <w:rPr>
          <w:bCs/>
          <w:lang w:val="en-US"/>
        </w:rPr>
        <w:t>,</w:t>
      </w:r>
      <w:r>
        <w:rPr>
          <w:bCs/>
        </w:rPr>
        <w:t xml:space="preserve"> and biomass plants after several years of </w:t>
      </w:r>
      <w:r>
        <w:rPr>
          <w:bCs/>
          <w:lang w:val="en-US"/>
        </w:rPr>
        <w:t xml:space="preserve">its </w:t>
      </w:r>
      <w:r>
        <w:rPr>
          <w:bCs/>
        </w:rPr>
        <w:t>operation. This will make it difficult for small IPPs that need generating assets for their collaterals. This tariff setting, related to investment and funding schemes, becomes a separate link:</w:t>
      </w:r>
    </w:p>
    <w:p>
      <w:pPr>
        <w:pStyle w:val="2"/>
        <w:spacing w:before="0" w:beforeAutospacing="0" w:after="0" w:afterAutospacing="0" w:line="276" w:lineRule="auto"/>
        <w:jc w:val="center"/>
        <w:rPr>
          <w:bCs/>
        </w:rPr>
      </w:pPr>
      <w:r>
        <w:rPr>
          <w:bCs/>
          <w:lang w:val="en-US" w:eastAsia="en-US"/>
        </w:rPr>
        <w:drawing>
          <wp:inline distT="0" distB="0" distL="0" distR="0">
            <wp:extent cx="2581275" cy="2059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2081" cy="2100148"/>
                    </a:xfrm>
                    <a:prstGeom prst="rect">
                      <a:avLst/>
                    </a:prstGeom>
                  </pic:spPr>
                </pic:pic>
              </a:graphicData>
            </a:graphic>
          </wp:inline>
        </w:drawing>
      </w:r>
    </w:p>
    <w:p>
      <w:pPr>
        <w:pStyle w:val="2"/>
        <w:spacing w:before="0" w:beforeAutospacing="0" w:after="0" w:afterAutospacing="0" w:line="276" w:lineRule="auto"/>
        <w:jc w:val="center"/>
        <w:rPr>
          <w:bCs/>
          <w:sz w:val="20"/>
          <w:szCs w:val="20"/>
        </w:rPr>
      </w:pPr>
      <w:r>
        <w:rPr>
          <w:bCs/>
          <w:sz w:val="20"/>
          <w:szCs w:val="20"/>
        </w:rPr>
        <w:t>Picture 1. Separate Link of Renewable Tariff Setting in Indonesia</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The</w:t>
      </w:r>
      <w:r>
        <w:rPr>
          <w:bCs/>
          <w:lang w:val="en-US"/>
        </w:rPr>
        <w:t xml:space="preserve"> implementation </w:t>
      </w:r>
      <w:r>
        <w:rPr>
          <w:bCs/>
        </w:rPr>
        <w:t xml:space="preserve">of the Paris Agreement also requires </w:t>
      </w:r>
      <w:r>
        <w:rPr>
          <w:bCs/>
          <w:lang w:val="en-US"/>
        </w:rPr>
        <w:t xml:space="preserve">a </w:t>
      </w:r>
      <w:r>
        <w:rPr>
          <w:bCs/>
        </w:rPr>
        <w:t xml:space="preserve">new breakthrough regarding energy subsidies. In the future, the government must </w:t>
      </w:r>
      <w:r>
        <w:rPr>
          <w:bCs/>
          <w:lang w:val="en-US"/>
        </w:rPr>
        <w:t>dare</w:t>
      </w:r>
      <w:r>
        <w:rPr>
          <w:bCs/>
        </w:rPr>
        <w:t xml:space="preserve"> to revoke fuel and electricity subsidies to the public. Using the one-price BBM scheme even though subsidies are only for premium type fuel</w:t>
      </w:r>
      <w:r>
        <w:rPr>
          <w:bCs/>
          <w:lang w:val="en-US"/>
        </w:rPr>
        <w:t>, as at present</w:t>
      </w:r>
      <w:r>
        <w:rPr>
          <w:bCs/>
        </w:rPr>
        <w:t xml:space="preserve">, the number of consumers will </w:t>
      </w:r>
      <w:r>
        <w:rPr>
          <w:bCs/>
          <w:lang w:val="en-US"/>
        </w:rPr>
        <w:t xml:space="preserve">continue to </w:t>
      </w:r>
      <w:r>
        <w:rPr>
          <w:bCs/>
        </w:rPr>
        <w:t>increase from Sabang to Merauke. Thus, the reduction in subsidies is not beneficial.</w:t>
      </w:r>
    </w:p>
    <w:p>
      <w:pPr>
        <w:pStyle w:val="2"/>
        <w:spacing w:before="0" w:beforeAutospacing="0" w:after="0" w:afterAutospacing="0" w:line="276" w:lineRule="auto"/>
        <w:jc w:val="both"/>
        <w:rPr>
          <w:bCs/>
        </w:rPr>
      </w:pPr>
    </w:p>
    <w:p>
      <w:pPr>
        <w:pStyle w:val="2"/>
        <w:spacing w:before="0" w:beforeAutospacing="0" w:after="0" w:afterAutospacing="0" w:line="276" w:lineRule="auto"/>
        <w:jc w:val="both"/>
        <w:rPr>
          <w:bCs/>
        </w:rPr>
      </w:pPr>
      <w:r>
        <w:rPr>
          <w:bCs/>
        </w:rPr>
        <w:t xml:space="preserve">In addition, in order to implement the Paris Agreement, a GHG emission reduction scheme is also needed. </w:t>
      </w:r>
      <w:r>
        <w:t>Measuring GHG emission reductions is believed to</w:t>
      </w:r>
      <w:r>
        <w:rPr>
          <w:lang w:val="en-US"/>
        </w:rPr>
        <w:t xml:space="preserve"> be able to</w:t>
      </w:r>
      <w:r>
        <w:t xml:space="preserve"> help Indonesia reach the NDC target</w:t>
      </w:r>
      <w:r>
        <w:rPr>
          <w:lang w:val="en-US"/>
        </w:rPr>
        <w:t xml:space="preserve"> b</w:t>
      </w:r>
      <w:r>
        <w:t xml:space="preserve">ecause the energy conversions carried out so far have not been counted. MRV is a measurement </w:t>
      </w:r>
      <w:r>
        <w:rPr>
          <w:lang w:val="en-US"/>
        </w:rPr>
        <w:t xml:space="preserve">of the </w:t>
      </w:r>
      <w:r>
        <w:t xml:space="preserve">reporting and verification of inventory and mitigation of GHG emission reduction. </w:t>
      </w:r>
      <w:r>
        <w:rPr>
          <w:lang w:val="en-US"/>
        </w:rPr>
        <w:t>I</w:t>
      </w:r>
      <w:r>
        <w:t>t has been carried out since 2003 for electricity generation</w:t>
      </w:r>
      <w:r>
        <w:rPr>
          <w:lang w:val="en-US"/>
        </w:rPr>
        <w:t xml:space="preserve"> i</w:t>
      </w:r>
      <w:r>
        <w:t>n ESDM.</w:t>
      </w:r>
    </w:p>
    <w:p>
      <w:pPr>
        <w:pStyle w:val="2"/>
        <w:spacing w:before="0" w:beforeAutospacing="0" w:after="0" w:afterAutospacing="0" w:line="276" w:lineRule="auto"/>
        <w:jc w:val="both"/>
      </w:pPr>
      <w:r>
        <w:rPr>
          <w:lang w:val="en-US"/>
        </w:rPr>
        <w:t>T</w:t>
      </w:r>
      <w:r>
        <w:t>his MRV scheme could be the solution to achieving NDC and the creation of carbon markets. T</w:t>
      </w:r>
      <w:r>
        <w:rPr>
          <w:lang w:val="en-US"/>
        </w:rPr>
        <w:t xml:space="preserve">oday’s </w:t>
      </w:r>
      <w:r>
        <w:t xml:space="preserve">problem </w:t>
      </w:r>
      <w:r>
        <w:rPr>
          <w:lang w:val="en-US"/>
        </w:rPr>
        <w:t>i</w:t>
      </w:r>
      <w:r>
        <w:t>s that no one believes in this system either between the seller or the buyer</w:t>
      </w:r>
      <w:r>
        <w:rPr>
          <w:lang w:val="en-US"/>
        </w:rPr>
        <w:t xml:space="preserve"> </w:t>
      </w:r>
      <w:r>
        <w:t>globally so that Indonesia is also having difficulty benchmarking.</w:t>
      </w:r>
    </w:p>
    <w:p>
      <w:pPr>
        <w:pStyle w:val="2"/>
        <w:spacing w:before="0" w:beforeAutospacing="0" w:after="0" w:afterAutospacing="0" w:line="276" w:lineRule="auto"/>
        <w:jc w:val="both"/>
      </w:pPr>
    </w:p>
    <w:p>
      <w:pPr>
        <w:pStyle w:val="2"/>
        <w:spacing w:before="0" w:beforeAutospacing="0" w:after="0" w:afterAutospacing="0" w:line="276" w:lineRule="auto"/>
        <w:jc w:val="both"/>
      </w:pPr>
      <w:r>
        <w:t>It is expected that with this scheme there will be many investors who enter Indonesia to invest in CO2 reduction projects, but the reality is the opposite because investors also hold back their investments if what they do does not gain carbon credit in the world.</w:t>
      </w:r>
    </w:p>
    <w:p>
      <w:pPr>
        <w:pStyle w:val="2"/>
        <w:spacing w:before="0" w:beforeAutospacing="0" w:after="0" w:afterAutospacing="0" w:line="276" w:lineRule="auto"/>
        <w:jc w:val="both"/>
      </w:pPr>
    </w:p>
    <w:p>
      <w:pPr>
        <w:pStyle w:val="2"/>
        <w:spacing w:before="0" w:beforeAutospacing="0" w:after="0" w:afterAutospacing="0" w:line="276" w:lineRule="auto"/>
        <w:jc w:val="both"/>
      </w:pPr>
      <w:r>
        <w:t xml:space="preserve">If there is a proposal </w:t>
      </w:r>
      <w:r>
        <w:rPr>
          <w:lang w:val="en-US"/>
        </w:rPr>
        <w:t xml:space="preserve">in order </w:t>
      </w:r>
      <w:r>
        <w:t xml:space="preserve">that the government builds </w:t>
      </w:r>
      <w:r>
        <w:rPr>
          <w:lang w:val="en-US"/>
        </w:rPr>
        <w:t xml:space="preserve">the </w:t>
      </w:r>
      <w:r>
        <w:t>carbon market regulation, how can the regulation be built if the business and technology do not yet exist in Indonesia?</w:t>
      </w:r>
      <w:r>
        <w:rPr>
          <w:lang w:val="en-US"/>
        </w:rPr>
        <w:t xml:space="preserve"> </w:t>
      </w:r>
      <w:r>
        <w:t xml:space="preserve">Is </w:t>
      </w:r>
      <w:r>
        <w:rPr>
          <w:lang w:val="en-US"/>
        </w:rPr>
        <w:t xml:space="preserve">with </w:t>
      </w:r>
      <w:r>
        <w:t xml:space="preserve">this regulation then the GDP will be lifted too? Certainly not because </w:t>
      </w:r>
      <w:r>
        <w:rPr>
          <w:lang w:val="en-US"/>
        </w:rPr>
        <w:t xml:space="preserve">the </w:t>
      </w:r>
      <w:r>
        <w:t xml:space="preserve">investment </w:t>
      </w:r>
      <w:r>
        <w:rPr>
          <w:lang w:val="en-US"/>
        </w:rPr>
        <w:t xml:space="preserve">of </w:t>
      </w:r>
      <w:r>
        <w:t>EBT technology is very expensive.</w:t>
      </w:r>
    </w:p>
    <w:p>
      <w:pPr>
        <w:pStyle w:val="2"/>
        <w:spacing w:before="0" w:beforeAutospacing="0" w:after="0" w:afterAutospacing="0" w:line="276" w:lineRule="auto"/>
        <w:jc w:val="both"/>
      </w:pPr>
    </w:p>
    <w:p>
      <w:pPr>
        <w:pStyle w:val="2"/>
        <w:spacing w:before="0" w:beforeAutospacing="0" w:after="0" w:afterAutospacing="0" w:line="276" w:lineRule="auto"/>
        <w:jc w:val="both"/>
      </w:pPr>
      <w:r>
        <w:t xml:space="preserve">If the solution is a regulation to provide carbon tax or tax relief for companies that have already reduced GHG emissions. That could be a solution, for example, the government </w:t>
      </w:r>
      <w:r>
        <w:rPr>
          <w:lang w:val="en-US"/>
        </w:rPr>
        <w:t>giv</w:t>
      </w:r>
      <w:r>
        <w:t>es a 10-year incentive to the compan</w:t>
      </w:r>
      <w:r>
        <w:rPr>
          <w:lang w:val="en-US"/>
        </w:rPr>
        <w:t>ies</w:t>
      </w:r>
      <w:r>
        <w:t xml:space="preserve"> but they must build a factory or plant in Indonesia and produce local content.</w:t>
      </w:r>
    </w:p>
    <w:p>
      <w:pPr>
        <w:pStyle w:val="2"/>
        <w:spacing w:before="0" w:beforeAutospacing="0" w:after="0" w:afterAutospacing="0" w:line="276" w:lineRule="auto"/>
        <w:jc w:val="both"/>
      </w:pPr>
    </w:p>
    <w:p>
      <w:pPr>
        <w:pStyle w:val="2"/>
        <w:spacing w:before="0" w:beforeAutospacing="0" w:after="0" w:afterAutospacing="0" w:line="276" w:lineRule="auto"/>
        <w:jc w:val="both"/>
      </w:pPr>
      <w:r>
        <w:t xml:space="preserve">The </w:t>
      </w:r>
      <w:r>
        <w:rPr>
          <w:lang w:val="en-US"/>
        </w:rPr>
        <w:t>implementation</w:t>
      </w:r>
      <w:r>
        <w:t xml:space="preserve"> of the Paris Agreement also requires an energy security fund. The energy security fund is planned to be included in the latest Oil and Gas Law. Thus</w:t>
      </w:r>
      <w:r>
        <w:rPr>
          <w:lang w:val="en-US"/>
        </w:rPr>
        <w:t>,</w:t>
      </w:r>
      <w:r>
        <w:t xml:space="preserve"> the results from oil and gas production can be used as tools to develop EBT. Currently, the energy security fund scheme is as follows:</w:t>
      </w:r>
    </w:p>
    <w:p>
      <w:pPr>
        <w:pStyle w:val="2"/>
        <w:numPr>
          <w:ilvl w:val="0"/>
          <w:numId w:val="4"/>
        </w:numPr>
        <w:spacing w:before="0" w:beforeAutospacing="0" w:after="0" w:afterAutospacing="0" w:line="276" w:lineRule="auto"/>
        <w:jc w:val="both"/>
      </w:pPr>
      <w:r>
        <w:t>From the government</w:t>
      </w:r>
      <w:r>
        <w:rPr>
          <w:lang w:val="en-US"/>
        </w:rPr>
        <w:t xml:space="preserve">: </w:t>
      </w:r>
      <w:r>
        <w:t>carbon tax,</w:t>
      </w:r>
      <w:r>
        <w:rPr>
          <w:lang w:val="en-US"/>
        </w:rPr>
        <w:t xml:space="preserve"> </w:t>
      </w:r>
      <w:r>
        <w:t>fuel/electricity excise, budget reallocation, PNBP</w:t>
      </w:r>
    </w:p>
    <w:p>
      <w:pPr>
        <w:pStyle w:val="2"/>
        <w:numPr>
          <w:ilvl w:val="0"/>
          <w:numId w:val="4"/>
        </w:numPr>
        <w:spacing w:before="0" w:beforeAutospacing="0" w:after="0" w:afterAutospacing="0" w:line="276" w:lineRule="auto"/>
        <w:jc w:val="both"/>
      </w:pPr>
      <w:r>
        <w:t xml:space="preserve">From </w:t>
      </w:r>
      <w:r>
        <w:rPr>
          <w:lang w:val="en-US"/>
        </w:rPr>
        <w:t>donor</w:t>
      </w:r>
      <w:r>
        <w:t xml:space="preserve"> countries</w:t>
      </w:r>
      <w:r>
        <w:rPr>
          <w:lang w:val="en-US"/>
        </w:rPr>
        <w:t xml:space="preserve">: </w:t>
      </w:r>
      <w:r>
        <w:t xml:space="preserve"> grants and multilateral or bilateral donors.</w:t>
      </w:r>
    </w:p>
    <w:p>
      <w:pPr>
        <w:pStyle w:val="2"/>
        <w:numPr>
          <w:ilvl w:val="0"/>
          <w:numId w:val="4"/>
        </w:numPr>
        <w:spacing w:before="0" w:beforeAutospacing="0" w:after="0" w:afterAutospacing="0" w:line="276" w:lineRule="auto"/>
        <w:jc w:val="both"/>
      </w:pPr>
      <w:r>
        <w:t>From financial institutions or investors</w:t>
      </w:r>
    </w:p>
    <w:p>
      <w:pPr>
        <w:pStyle w:val="2"/>
        <w:spacing w:before="0" w:beforeAutospacing="0" w:after="0" w:afterAutospacing="0" w:line="276" w:lineRule="auto"/>
        <w:ind w:left="720"/>
        <w:jc w:val="both"/>
      </w:pPr>
    </w:p>
    <w:p>
      <w:pPr>
        <w:pStyle w:val="2"/>
        <w:spacing w:before="0" w:beforeAutospacing="0" w:after="0" w:afterAutospacing="0" w:line="276" w:lineRule="auto"/>
        <w:jc w:val="both"/>
      </w:pPr>
      <w:r>
        <w:t xml:space="preserve">These funds were then accommodated through a BLU at PT SMI and BPD LH. The form of service is in the form of technical assistance or financial intervention to EBT projects. This energy security fund scheme is not a new scheme. Oil and gas funds in the Ministry of Finance cannot be </w:t>
      </w:r>
      <w:r>
        <w:rPr>
          <w:lang w:val="en-US"/>
        </w:rPr>
        <w:t>withdrawn</w:t>
      </w:r>
      <w:r>
        <w:t xml:space="preserve"> away without having a strong reason to </w:t>
      </w:r>
      <w:r>
        <w:rPr>
          <w:lang w:val="en-US"/>
        </w:rPr>
        <w:t>withdraw</w:t>
      </w:r>
      <w:r>
        <w:t xml:space="preserve"> so that the oil and gas funds for energy security cannot yet be taken </w:t>
      </w:r>
      <w:r>
        <w:rPr>
          <w:lang w:val="en-US"/>
        </w:rPr>
        <w:t xml:space="preserve">until now </w:t>
      </w:r>
      <w:r>
        <w:t>because the Oil and Gas Law has not been formed</w:t>
      </w:r>
      <w:r>
        <w:rPr>
          <w:lang w:val="en-US"/>
        </w:rPr>
        <w:t xml:space="preserve"> </w:t>
      </w:r>
      <w:r>
        <w:t>yet.</w:t>
      </w:r>
    </w:p>
    <w:p>
      <w:pPr>
        <w:pStyle w:val="1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0" w:hanging="450"/>
        <w:jc w:val="both"/>
        <w:rPr>
          <w:b/>
          <w:color w:val="222222"/>
          <w:lang w:val="en" w:eastAsia="zh-CN"/>
        </w:rPr>
      </w:pPr>
      <w:r>
        <w:rPr>
          <w:b/>
          <w:color w:val="222222"/>
          <w:lang w:val="en" w:eastAsia="zh-CN"/>
        </w:rPr>
        <w:t>CONCLUSION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Paris Agreement is an effort to prevent the warming of the earth above 2 degrees Celsius which will have a negative impact on climate change. In Paris Agreement, there are many ways to reduce global warming, for example by protecting forests, reducing CO2 burning to reduce greenhouse gases (GHG) and so 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This increase in greenhouse gas emissions is caused, for example, by the increased use of private vehicles for transportation, due to the use of high-carbon coal power plants.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In Paris Agreement, the use of renewable energy  is an option to reduce GHG emissions. For Indonesia itself, ratifying Paris Agreement is a wise choice because the impact will be good. Like, EBT can grow, and then Indonesia can shift from using fossil fuels to EBT.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However, the realization was not as easy as expected. As we know, the energy sector is largely a matter of fuel oil  and electricity. These two things are still political commodities and involve subsidies for the poor.</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Therefore, Indonesia cannot immediately change its energy policy to be fully EBT, because it is impossible for the government to provide EBT subsidies for the community with such huge needs. Thus, the development of EBT in Indonesia is constrained by political commodities and the reality that the government cannot provide EBT price subsidies.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PT PLN itself as a state-owned electricity company still focuses on the use of coal. To enter using geothermal energy, for example, a large investment is needed, especially for the technology.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As quoted from IRENA, the 23 percent energy mix will require an investment of 7.9 billion US dollars per year from 2015 to 2030. Meanwhile, the ESDM Ministry targets EBT investment in 2018 for 2 billion US dollars. As of October 2018, the EBT investment realized was only 1.16 billion US dollars.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r>
        <w:rPr>
          <w:color w:val="222222"/>
          <w:lang w:val="en" w:eastAsia="zh-CN"/>
        </w:rPr>
        <w:t>The Intitute for Essential Service Reform (IESR) record shows that for the past five years EBT investment has not yet risen significantly and even tends to decline. The investment achieved in 2015 was only 45 percent of the target set by ESDM. This gap is due to the realization of the construction of solar, wind and water EBT plants that have not been fulfilled.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22222"/>
          <w:lang w:val="en" w:eastAsia="zh-CN"/>
        </w:rPr>
      </w:pPr>
    </w:p>
    <w:p>
      <w:pPr>
        <w:pStyle w:val="1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b/>
          <w:color w:val="222222"/>
          <w:lang w:val="en" w:eastAsia="zh-CN"/>
        </w:rPr>
      </w:pPr>
      <w:r>
        <w:rPr>
          <w:b/>
          <w:color w:val="222222"/>
          <w:lang w:val="en" w:eastAsia="zh-CN"/>
        </w:rPr>
        <w:t>REFERENCES</w:t>
      </w:r>
    </w:p>
    <w:p>
      <w:pPr>
        <w:pStyle w:val="2"/>
        <w:spacing w:before="0" w:beforeAutospacing="0" w:after="0" w:afterAutospacing="0" w:line="276" w:lineRule="auto"/>
        <w:jc w:val="both"/>
        <w:rPr>
          <w:b/>
        </w:rPr>
      </w:pPr>
    </w:p>
    <w:p>
      <w:pPr>
        <w:pStyle w:val="10"/>
        <w:numPr>
          <w:ilvl w:val="0"/>
          <w:numId w:val="5"/>
        </w:numPr>
        <w:tabs>
          <w:tab w:val="left" w:pos="1300"/>
        </w:tabs>
        <w:spacing w:line="276" w:lineRule="auto"/>
        <w:jc w:val="both"/>
      </w:pPr>
      <w:r>
        <w:rPr>
          <w:spacing w:val="27"/>
          <w:lang w:val="zh-CN"/>
        </w:rPr>
        <w:t>BAPPENAS,</w:t>
      </w:r>
      <w:r>
        <w:rPr>
          <w:spacing w:val="27"/>
        </w:rPr>
        <w:t xml:space="preserve"> </w:t>
      </w:r>
      <w:r>
        <w:t>2015.</w:t>
      </w:r>
      <w:r>
        <w:rPr>
          <w:spacing w:val="27"/>
        </w:rPr>
        <w:t xml:space="preserve"> </w:t>
      </w:r>
      <w:r>
        <w:rPr>
          <w:i/>
        </w:rPr>
        <w:t>Itended</w:t>
      </w:r>
      <w:r>
        <w:rPr>
          <w:i/>
          <w:spacing w:val="27"/>
        </w:rPr>
        <w:t xml:space="preserve"> </w:t>
      </w:r>
      <w:r>
        <w:rPr>
          <w:i/>
        </w:rPr>
        <w:t>Nationally</w:t>
      </w:r>
      <w:r>
        <w:rPr>
          <w:i/>
          <w:spacing w:val="27"/>
        </w:rPr>
        <w:t xml:space="preserve"> </w:t>
      </w:r>
      <w:r>
        <w:rPr>
          <w:i/>
        </w:rPr>
        <w:t>Determined</w:t>
      </w:r>
      <w:r>
        <w:rPr>
          <w:i/>
          <w:spacing w:val="27"/>
        </w:rPr>
        <w:t xml:space="preserve"> </w:t>
      </w:r>
      <w:r>
        <w:rPr>
          <w:i/>
        </w:rPr>
        <w:t>Contribution</w:t>
      </w:r>
      <w:r>
        <w:rPr>
          <w:i/>
          <w:spacing w:val="27"/>
        </w:rPr>
        <w:t xml:space="preserve"> </w:t>
      </w:r>
      <w:r>
        <w:rPr>
          <w:i/>
        </w:rPr>
        <w:t>Republic</w:t>
      </w:r>
      <w:r>
        <w:rPr>
          <w:i/>
          <w:spacing w:val="26"/>
        </w:rPr>
        <w:t xml:space="preserve"> </w:t>
      </w:r>
      <w:r>
        <w:rPr>
          <w:i/>
        </w:rPr>
        <w:t>of</w:t>
      </w:r>
      <w:r>
        <w:rPr>
          <w:i/>
          <w:spacing w:val="29"/>
        </w:rPr>
        <w:t xml:space="preserve"> </w:t>
      </w:r>
      <w:r>
        <w:rPr>
          <w:i/>
        </w:rPr>
        <w:t>Indonesia.</w:t>
      </w:r>
      <w:r>
        <w:t>Bappenas.</w:t>
      </w:r>
    </w:p>
    <w:p>
      <w:pPr>
        <w:pStyle w:val="2"/>
        <w:numPr>
          <w:ilvl w:val="0"/>
          <w:numId w:val="5"/>
        </w:numPr>
        <w:spacing w:before="0" w:beforeAutospacing="0" w:after="0" w:afterAutospacing="0" w:line="276" w:lineRule="auto"/>
        <w:ind w:right="225"/>
        <w:jc w:val="both"/>
      </w:pPr>
      <w:r>
        <w:rPr>
          <w:color w:val="212121"/>
        </w:rPr>
        <w:t xml:space="preserve">Henderson, R., Reinert, S., Dekhtyar, P. and Migdal, A., 2016. Climate Change in 2016: Implications for Business. </w:t>
      </w:r>
      <w:r>
        <w:rPr>
          <w:i/>
          <w:color w:val="212121"/>
        </w:rPr>
        <w:t>Harvard Business School</w:t>
      </w:r>
      <w:r>
        <w:rPr>
          <w:color w:val="212121"/>
        </w:rPr>
        <w:t xml:space="preserve">, </w:t>
      </w:r>
      <w:r>
        <w:rPr>
          <w:i/>
          <w:color w:val="212121"/>
        </w:rPr>
        <w:t>14</w:t>
      </w:r>
      <w:r>
        <w:rPr>
          <w:color w:val="212121"/>
        </w:rPr>
        <w:t>.</w:t>
      </w:r>
    </w:p>
    <w:p>
      <w:pPr>
        <w:pStyle w:val="10"/>
        <w:numPr>
          <w:ilvl w:val="0"/>
          <w:numId w:val="5"/>
        </w:numPr>
        <w:spacing w:line="276" w:lineRule="auto"/>
        <w:ind w:right="218"/>
        <w:jc w:val="both"/>
      </w:pPr>
      <w:r>
        <w:rPr>
          <w:color w:val="212121"/>
        </w:rPr>
        <w:t xml:space="preserve">Murdiyarso, D., 2003. </w:t>
      </w:r>
      <w:r>
        <w:rPr>
          <w:i/>
          <w:color w:val="212121"/>
        </w:rPr>
        <w:t>Sepuluh Tahun Perjalanan Negosiasi Konvensi Perubahan Iklim</w:t>
      </w:r>
      <w:r>
        <w:rPr>
          <w:color w:val="212121"/>
        </w:rPr>
        <w:t>. Penerbit Buku Kompas.</w:t>
      </w:r>
    </w:p>
    <w:p>
      <w:pPr>
        <w:pStyle w:val="2"/>
        <w:numPr>
          <w:ilvl w:val="0"/>
          <w:numId w:val="5"/>
        </w:numPr>
        <w:spacing w:before="0" w:beforeAutospacing="0" w:after="0" w:afterAutospacing="0" w:line="276" w:lineRule="auto"/>
        <w:jc w:val="both"/>
        <w:rPr>
          <w:i/>
        </w:rPr>
      </w:pPr>
      <w:r>
        <w:rPr>
          <w:color w:val="212121"/>
        </w:rPr>
        <w:t xml:space="preserve">National Research Council. Committee on Analysis of Global Change Assessments, 2007. </w:t>
      </w:r>
      <w:r>
        <w:rPr>
          <w:i/>
          <w:color w:val="212121"/>
        </w:rPr>
        <w:t>Analysis of global change assessments: lessons learned.</w:t>
      </w:r>
    </w:p>
    <w:p>
      <w:pPr>
        <w:spacing w:line="276" w:lineRule="auto"/>
        <w:ind w:left="220" w:right="218"/>
        <w:jc w:val="both"/>
        <w:rPr>
          <w:color w:val="212121"/>
        </w:rPr>
      </w:pPr>
    </w:p>
    <w:p>
      <w:pPr>
        <w:pStyle w:val="10"/>
        <w:numPr>
          <w:ilvl w:val="0"/>
          <w:numId w:val="5"/>
        </w:numPr>
        <w:spacing w:line="276" w:lineRule="auto"/>
        <w:ind w:right="218"/>
        <w:jc w:val="both"/>
      </w:pPr>
      <w:r>
        <w:rPr>
          <w:color w:val="212121"/>
        </w:rPr>
        <w:t xml:space="preserve">Pachauri, R.K., Allen, M.R., Barros, V.R., Broome, J., Cramer, W., Christ, R., Church, J.A., Clarke, L., Dahe, Q., Dasgupta, P. and Dubash, N.K., 2014. </w:t>
      </w:r>
      <w:r>
        <w:rPr>
          <w:i/>
          <w:color w:val="212121"/>
        </w:rPr>
        <w:t xml:space="preserve">Climate change 2014: synthesis report. Contribution of Working Groups I, II and III to the fifth assessment report of the Intergovernmental Panel on Climate Change </w:t>
      </w:r>
      <w:r>
        <w:rPr>
          <w:color w:val="212121"/>
        </w:rPr>
        <w:t>(p. 151). IPCC.</w:t>
      </w:r>
    </w:p>
    <w:p>
      <w:pPr>
        <w:pStyle w:val="10"/>
        <w:numPr>
          <w:ilvl w:val="0"/>
          <w:numId w:val="5"/>
        </w:numPr>
        <w:spacing w:line="276" w:lineRule="auto"/>
        <w:ind w:right="220"/>
        <w:jc w:val="both"/>
        <w:rPr>
          <w:i/>
        </w:rPr>
      </w:pPr>
      <w:r>
        <w:rPr>
          <w:color w:val="212121"/>
        </w:rPr>
        <w:t xml:space="preserve">Schellnhuber, H.J., Hare, B., Serdeczny, O., Schaeffer, M., Adams, S., Baarsch, F., Schwan, S., Coumou, D., Robinson, A., Vieweg, M. and Piontek, F., 2013. Turn down the heat: climate extremes, regional impacts, and the case for resilience. </w:t>
      </w:r>
      <w:r>
        <w:rPr>
          <w:i/>
          <w:color w:val="212121"/>
        </w:rPr>
        <w:t>Turn down the heat: climate extremes, regional impacts, and the case for</w:t>
      </w:r>
      <w:r>
        <w:rPr>
          <w:i/>
          <w:color w:val="212121"/>
          <w:spacing w:val="-2"/>
        </w:rPr>
        <w:t xml:space="preserve"> </w:t>
      </w:r>
      <w:r>
        <w:rPr>
          <w:i/>
          <w:color w:val="212121"/>
        </w:rPr>
        <w:t>resilience.</w:t>
      </w:r>
    </w:p>
    <w:p>
      <w:pPr>
        <w:pStyle w:val="10"/>
        <w:numPr>
          <w:ilvl w:val="0"/>
          <w:numId w:val="5"/>
        </w:numPr>
        <w:spacing w:line="276" w:lineRule="auto"/>
        <w:ind w:right="218"/>
        <w:jc w:val="both"/>
        <w:rPr>
          <w:color w:val="212121"/>
        </w:rPr>
      </w:pPr>
      <w:r>
        <w:rPr>
          <w:color w:val="212121"/>
        </w:rPr>
        <w:t xml:space="preserve">Turral, H., Burke, J.J. and Faurès, J.M., 2011. </w:t>
      </w:r>
      <w:r>
        <w:rPr>
          <w:i/>
          <w:color w:val="212121"/>
        </w:rPr>
        <w:t>Climate change, water and food security</w:t>
      </w:r>
      <w:r>
        <w:rPr>
          <w:color w:val="212121"/>
        </w:rPr>
        <w:t>. Rome, Italy: Food and Agriculture Organization of the United Nations.</w:t>
      </w:r>
    </w:p>
    <w:p>
      <w:pPr>
        <w:pStyle w:val="10"/>
        <w:numPr>
          <w:ilvl w:val="0"/>
          <w:numId w:val="5"/>
        </w:numPr>
        <w:spacing w:line="276" w:lineRule="auto"/>
        <w:ind w:right="218"/>
        <w:jc w:val="both"/>
        <w:rPr>
          <w:rFonts w:eastAsia="SimSun"/>
          <w:color w:val="222222"/>
          <w:shd w:val="clear" w:color="auto" w:fill="FFFFFF"/>
        </w:rPr>
      </w:pPr>
      <w:r>
        <w:rPr>
          <w:rFonts w:eastAsia="SimSun"/>
          <w:color w:val="222222"/>
          <w:shd w:val="clear" w:color="auto" w:fill="FFFFFF"/>
        </w:rPr>
        <w:t>Sovacool, B.K., 2009. The importance of comprehensiveness in renewable electricity and energy-efficiency policy. </w:t>
      </w:r>
      <w:r>
        <w:rPr>
          <w:rFonts w:eastAsia="SimSun"/>
          <w:i/>
          <w:color w:val="222222"/>
          <w:shd w:val="clear" w:color="auto" w:fill="FFFFFF"/>
        </w:rPr>
        <w:t>Energy Policy</w:t>
      </w:r>
      <w:r>
        <w:rPr>
          <w:rFonts w:eastAsia="SimSun"/>
          <w:color w:val="222222"/>
          <w:shd w:val="clear" w:color="auto" w:fill="FFFFFF"/>
        </w:rPr>
        <w:t>, </w:t>
      </w:r>
      <w:r>
        <w:rPr>
          <w:rFonts w:eastAsia="SimSun"/>
          <w:i/>
          <w:color w:val="222222"/>
          <w:shd w:val="clear" w:color="auto" w:fill="FFFFFF"/>
        </w:rPr>
        <w:t>37</w:t>
      </w:r>
      <w:r>
        <w:rPr>
          <w:rFonts w:eastAsia="SimSun"/>
          <w:color w:val="222222"/>
          <w:shd w:val="clear" w:color="auto" w:fill="FFFFFF"/>
        </w:rPr>
        <w:t>(4), pp.1529-1541.</w:t>
      </w:r>
    </w:p>
    <w:p>
      <w:pPr>
        <w:pStyle w:val="10"/>
        <w:numPr>
          <w:ilvl w:val="0"/>
          <w:numId w:val="5"/>
        </w:numPr>
        <w:spacing w:line="276" w:lineRule="auto"/>
        <w:ind w:right="218"/>
        <w:jc w:val="both"/>
        <w:rPr>
          <w:rFonts w:eastAsia="SimSun"/>
          <w:color w:val="222222"/>
          <w:shd w:val="clear" w:color="auto" w:fill="FFFFFF"/>
        </w:rPr>
      </w:pPr>
      <w:r>
        <w:rPr>
          <w:rFonts w:eastAsia="SimSun"/>
          <w:color w:val="222222"/>
          <w:shd w:val="clear" w:color="auto" w:fill="FFFFFF"/>
        </w:rPr>
        <w:t>Sovacool, B.K. and Mukherjee, I., 2011. Conceptualizing and measuring energy security: A synthesized approach. </w:t>
      </w:r>
      <w:r>
        <w:rPr>
          <w:rFonts w:eastAsia="SimSun"/>
          <w:i/>
          <w:color w:val="222222"/>
          <w:shd w:val="clear" w:color="auto" w:fill="FFFFFF"/>
        </w:rPr>
        <w:t>Energy</w:t>
      </w:r>
      <w:r>
        <w:rPr>
          <w:rFonts w:eastAsia="SimSun"/>
          <w:color w:val="222222"/>
          <w:shd w:val="clear" w:color="auto" w:fill="FFFFFF"/>
        </w:rPr>
        <w:t>, </w:t>
      </w:r>
      <w:r>
        <w:rPr>
          <w:rFonts w:eastAsia="SimSun"/>
          <w:i/>
          <w:color w:val="222222"/>
          <w:shd w:val="clear" w:color="auto" w:fill="FFFFFF"/>
        </w:rPr>
        <w:t>36</w:t>
      </w:r>
      <w:r>
        <w:rPr>
          <w:rFonts w:eastAsia="SimSun"/>
          <w:color w:val="222222"/>
          <w:shd w:val="clear" w:color="auto" w:fill="FFFFFF"/>
        </w:rPr>
        <w:t xml:space="preserve">(8), pp.5343-5355. </w:t>
      </w:r>
    </w:p>
    <w:p>
      <w:pPr>
        <w:pStyle w:val="10"/>
        <w:numPr>
          <w:ilvl w:val="0"/>
          <w:numId w:val="5"/>
        </w:numPr>
        <w:spacing w:line="276" w:lineRule="auto"/>
        <w:ind w:right="218"/>
        <w:jc w:val="both"/>
        <w:rPr>
          <w:rFonts w:eastAsia="SimSun"/>
          <w:color w:val="222222"/>
          <w:shd w:val="clear" w:color="auto" w:fill="FFFFFF"/>
        </w:rPr>
      </w:pPr>
      <w:r>
        <w:rPr>
          <w:rFonts w:eastAsia="SimSun"/>
          <w:color w:val="222222"/>
          <w:shd w:val="clear" w:color="auto" w:fill="FFFFFF"/>
        </w:rPr>
        <w:t xml:space="preserve">IESR, 2018. Indonesia Clean Energy Outlook: Reviewing 2018, Outlooking 2019. </w:t>
      </w:r>
    </w:p>
    <w:p>
      <w:pPr>
        <w:pStyle w:val="10"/>
        <w:numPr>
          <w:ilvl w:val="0"/>
          <w:numId w:val="5"/>
        </w:numPr>
        <w:spacing w:line="276" w:lineRule="auto"/>
        <w:ind w:right="218"/>
        <w:jc w:val="both"/>
        <w:rPr>
          <w:color w:val="212121"/>
        </w:rPr>
      </w:pPr>
      <w:r>
        <w:rPr>
          <w:color w:val="212121"/>
        </w:rPr>
        <w:t>Saris, W.E. and Gallhofer, I.N., 2014. Design, evaluation, and analysis of questionnaires for survey research. John Wiley &amp; Sons.</w:t>
      </w:r>
    </w:p>
    <w:p>
      <w:pPr>
        <w:pStyle w:val="10"/>
        <w:numPr>
          <w:ilvl w:val="0"/>
          <w:numId w:val="5"/>
        </w:numPr>
        <w:spacing w:line="276" w:lineRule="auto"/>
        <w:ind w:right="218"/>
        <w:jc w:val="both"/>
        <w:rPr>
          <w:color w:val="212121"/>
        </w:rPr>
      </w:pPr>
      <w:r>
        <w:rPr>
          <w:color w:val="212121"/>
        </w:rPr>
        <w:t xml:space="preserve">Hobson, K., &amp; Niemeyer, S. (2012). “What sceptics believe”: The effects of information and deliberation on climate change scepticism. Public Understanding of Science, 22(4), 396–412. doi:10.1177/0963662511430459 </w:t>
      </w:r>
    </w:p>
    <w:p>
      <w:pPr>
        <w:pStyle w:val="10"/>
        <w:numPr>
          <w:ilvl w:val="0"/>
          <w:numId w:val="5"/>
        </w:numPr>
        <w:spacing w:line="276" w:lineRule="auto"/>
        <w:ind w:right="218"/>
        <w:jc w:val="both"/>
        <w:rPr>
          <w:color w:val="212121"/>
        </w:rPr>
      </w:pPr>
      <w:r>
        <w:rPr>
          <w:color w:val="212121"/>
        </w:rPr>
        <w:t>Boykoff, M.T., Boykoff, J.M., 2004. Balance as bias: global warming and the US prestige press. Global Environmental Change 14, 125–136.</w:t>
      </w:r>
    </w:p>
    <w:p>
      <w:pPr>
        <w:pStyle w:val="10"/>
        <w:numPr>
          <w:ilvl w:val="0"/>
          <w:numId w:val="5"/>
        </w:numPr>
        <w:spacing w:line="276" w:lineRule="auto"/>
        <w:ind w:right="218"/>
        <w:jc w:val="both"/>
        <w:rPr>
          <w:rFonts w:eastAsia="SimSun"/>
          <w:color w:val="222222"/>
          <w:shd w:val="clear" w:color="auto" w:fill="FFFFFF"/>
        </w:rPr>
      </w:pPr>
      <w:r>
        <w:rPr>
          <w:rFonts w:eastAsia="SimSun"/>
          <w:color w:val="222222"/>
          <w:shd w:val="clear" w:color="auto" w:fill="FFFFFF"/>
        </w:rPr>
        <w:t xml:space="preserve">Whitmarsh, L. (2011). Scepticism and uncertainty about climate change: Dimensions, determinants and change over time. Global Environmental Change, 21(2), 690–700. doi:10.1016/j.gloenvcha.2011.01.016 </w:t>
      </w:r>
    </w:p>
    <w:p>
      <w:pPr>
        <w:pStyle w:val="10"/>
        <w:numPr>
          <w:ilvl w:val="0"/>
          <w:numId w:val="5"/>
        </w:numPr>
        <w:spacing w:line="276" w:lineRule="auto"/>
        <w:ind w:right="218"/>
        <w:jc w:val="both"/>
        <w:rPr>
          <w:rFonts w:eastAsia="SimSun"/>
          <w:color w:val="222222"/>
          <w:shd w:val="clear" w:color="auto" w:fill="FFFFFF"/>
        </w:rPr>
      </w:pPr>
      <w:r>
        <w:rPr>
          <w:rFonts w:eastAsia="SimSun"/>
          <w:color w:val="222222"/>
          <w:shd w:val="clear" w:color="auto" w:fill="FFFFFF"/>
        </w:rPr>
        <w:t>Gallup (2010) Australians’ views shift on climate change. Available at: http://www.gallup.com/poll/141782/</w:t>
      </w:r>
    </w:p>
    <w:p>
      <w:pPr>
        <w:pStyle w:val="10"/>
        <w:numPr>
          <w:ilvl w:val="0"/>
          <w:numId w:val="5"/>
        </w:numPr>
        <w:spacing w:line="276" w:lineRule="auto"/>
        <w:ind w:right="218"/>
        <w:jc w:val="both"/>
        <w:rPr>
          <w:rFonts w:eastAsia="SimSun"/>
          <w:color w:val="222222"/>
          <w:shd w:val="clear" w:color="auto" w:fill="FFFFFF"/>
        </w:rPr>
      </w:pPr>
      <w:r>
        <w:rPr>
          <w:rFonts w:eastAsia="SimSun"/>
          <w:color w:val="222222"/>
          <w:shd w:val="clear" w:color="auto" w:fill="FFFFFF"/>
        </w:rPr>
        <w:t>australians-views-shift-climate-change.aspx (accessed 6 August 2010).</w:t>
      </w:r>
    </w:p>
    <w:p>
      <w:pPr>
        <w:pStyle w:val="10"/>
        <w:numPr>
          <w:ilvl w:val="0"/>
          <w:numId w:val="5"/>
        </w:numPr>
        <w:spacing w:line="276" w:lineRule="auto"/>
        <w:ind w:right="218"/>
        <w:jc w:val="both"/>
        <w:rPr>
          <w:rFonts w:eastAsia="SimSun"/>
          <w:color w:val="222222"/>
          <w:shd w:val="clear" w:color="auto" w:fill="FFFFFF"/>
        </w:rPr>
      </w:pPr>
      <w:r>
        <w:rPr>
          <w:rFonts w:eastAsia="SimSun"/>
          <w:color w:val="222222"/>
          <w:shd w:val="clear" w:color="auto" w:fill="FFFFFF"/>
        </w:rPr>
        <w:t xml:space="preserve">Tranter, B., &amp; Booth, K. (2015). Scepticism in a changing climate: A cross-national study. Global Environmental Change, 33, 154–164. doi:10.1016/j.gloenvcha.2015.05.003 </w:t>
      </w:r>
    </w:p>
    <w:p>
      <w:pPr>
        <w:pStyle w:val="10"/>
        <w:numPr>
          <w:ilvl w:val="0"/>
          <w:numId w:val="5"/>
        </w:numPr>
        <w:spacing w:line="276" w:lineRule="auto"/>
        <w:ind w:right="218"/>
        <w:jc w:val="both"/>
        <w:rPr>
          <w:color w:val="212121"/>
        </w:rPr>
      </w:pPr>
      <w:r>
        <w:rPr>
          <w:color w:val="212121"/>
        </w:rPr>
        <w:t>Murdiyarso, D., 2003. Protokol Kyoto: implikasinya bagi negara berkembang. Penerbit Buku Kompas.</w:t>
      </w:r>
    </w:p>
    <w:p>
      <w:pPr>
        <w:spacing w:line="276" w:lineRule="auto"/>
        <w:ind w:left="220" w:right="218"/>
        <w:jc w:val="both"/>
        <w:rPr>
          <w:rFonts w:eastAsia="SimSun"/>
          <w:color w:val="222222"/>
          <w:shd w:val="clear" w:color="auto" w:fill="FFFFFF"/>
        </w:rPr>
      </w:pPr>
    </w:p>
    <w:p>
      <w:pPr>
        <w:spacing w:line="276" w:lineRule="auto"/>
        <w:ind w:left="220" w:right="218"/>
        <w:jc w:val="both"/>
        <w:rPr>
          <w:rFonts w:eastAsia="SimSun"/>
          <w:color w:val="222222"/>
          <w:shd w:val="clear" w:color="auto" w:fill="FFFFFF"/>
        </w:rPr>
      </w:pPr>
    </w:p>
    <w:p>
      <w:pPr>
        <w:rPr>
          <w:lang w:val="en" w:eastAsia="zh-CN"/>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9445A"/>
    <w:multiLevelType w:val="multilevel"/>
    <w:tmpl w:val="19D9445A"/>
    <w:lvl w:ilvl="0" w:tentative="0">
      <w:start w:val="3"/>
      <w:numFmt w:val="decimal"/>
      <w:lvlText w:val="%1."/>
      <w:lvlJc w:val="left"/>
      <w:pPr>
        <w:ind w:left="360" w:hanging="360"/>
      </w:pPr>
      <w:rPr>
        <w:rFonts w:hint="default"/>
      </w:rPr>
    </w:lvl>
    <w:lvl w:ilvl="1" w:tentative="0">
      <w:start w:val="1"/>
      <w:numFmt w:val="decimal"/>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24341DBD"/>
    <w:multiLevelType w:val="multilevel"/>
    <w:tmpl w:val="24341DB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86A265C"/>
    <w:multiLevelType w:val="multilevel"/>
    <w:tmpl w:val="586A26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E8E3126"/>
    <w:multiLevelType w:val="multilevel"/>
    <w:tmpl w:val="5E8E3126"/>
    <w:lvl w:ilvl="0" w:tentative="0">
      <w:start w:val="1"/>
      <w:numFmt w:val="decimal"/>
      <w:lvlText w:val="%1."/>
      <w:lvlJc w:val="left"/>
      <w:pPr>
        <w:ind w:left="720" w:hanging="360"/>
      </w:pPr>
      <w:rPr>
        <w:rFonts w:hint="default" w:ascii="Arial" w:hAnsi="Arial" w:cs="Arial"/>
        <w:sz w:val="20"/>
        <w:szCs w:val="3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21263B2"/>
    <w:multiLevelType w:val="multilevel"/>
    <w:tmpl w:val="721263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38"/>
    <w:rsid w:val="0004657F"/>
    <w:rsid w:val="0018511D"/>
    <w:rsid w:val="001F70D5"/>
    <w:rsid w:val="002700B4"/>
    <w:rsid w:val="00301D14"/>
    <w:rsid w:val="00345FA3"/>
    <w:rsid w:val="00441F2A"/>
    <w:rsid w:val="004D7BF0"/>
    <w:rsid w:val="005A6F5C"/>
    <w:rsid w:val="005B142F"/>
    <w:rsid w:val="005B3578"/>
    <w:rsid w:val="005D380E"/>
    <w:rsid w:val="006143C7"/>
    <w:rsid w:val="006212C5"/>
    <w:rsid w:val="00742362"/>
    <w:rsid w:val="007B2EE2"/>
    <w:rsid w:val="007C36DE"/>
    <w:rsid w:val="008C2101"/>
    <w:rsid w:val="008D11CA"/>
    <w:rsid w:val="00911A6D"/>
    <w:rsid w:val="009725B0"/>
    <w:rsid w:val="00AC71A9"/>
    <w:rsid w:val="00B63E5C"/>
    <w:rsid w:val="00B835F1"/>
    <w:rsid w:val="00BA0303"/>
    <w:rsid w:val="00BA5281"/>
    <w:rsid w:val="00C04A37"/>
    <w:rsid w:val="00CB1EE7"/>
    <w:rsid w:val="00D11978"/>
    <w:rsid w:val="00D60497"/>
    <w:rsid w:val="00D87538"/>
    <w:rsid w:val="00DF13DB"/>
    <w:rsid w:val="00EB17BB"/>
    <w:rsid w:val="00EF3F6E"/>
    <w:rsid w:val="00F539AF"/>
    <w:rsid w:val="00F61E58"/>
    <w:rsid w:val="00FA6DCB"/>
    <w:rsid w:val="00FB43ED"/>
    <w:rsid w:val="00FE366E"/>
    <w:rsid w:val="258C5800"/>
    <w:rsid w:val="58F522C8"/>
    <w:rsid w:val="7B1358B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HAnsi"/>
      <w:sz w:val="24"/>
      <w:szCs w:val="24"/>
      <w:lang w:val="en-US"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7"/>
    <w:unhideWhenUsed/>
    <w:uiPriority w:val="99"/>
    <w:pPr>
      <w:widowControl w:val="0"/>
      <w:autoSpaceDE w:val="0"/>
      <w:autoSpaceDN w:val="0"/>
      <w:spacing w:before="100" w:beforeAutospacing="1" w:after="100" w:afterAutospacing="1"/>
    </w:pPr>
    <w:rPr>
      <w:rFonts w:eastAsia="Times New Roman"/>
      <w:lang w:val="id-ID" w:eastAsia="id-ID"/>
    </w:rPr>
  </w:style>
  <w:style w:type="paragraph" w:styleId="3">
    <w:name w:val="HTML Preformatted"/>
    <w:basedOn w:val="1"/>
    <w:link w:val="8"/>
    <w:semiHidden/>
    <w:unhideWhenUsed/>
    <w:qFormat/>
    <w:uiPriority w:val="99"/>
    <w:pPr>
      <w:widowControl w:val="0"/>
      <w:autoSpaceDE w:val="0"/>
      <w:autoSpaceDN w:val="0"/>
      <w:spacing w:beforeAutospacing="1" w:afterAutospacing="1"/>
    </w:pPr>
    <w:rPr>
      <w:rFonts w:ascii="Consolas" w:hAnsi="Consolas" w:eastAsia="Times New Roman"/>
      <w:sz w:val="20"/>
      <w:szCs w:val="20"/>
      <w:lang w:val="id-ID" w:eastAsia="id-ID"/>
    </w:r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7">
    <w:name w:val="Body Text Char"/>
    <w:basedOn w:val="4"/>
    <w:link w:val="2"/>
    <w:uiPriority w:val="99"/>
    <w:rPr>
      <w:rFonts w:ascii="Times New Roman" w:hAnsi="Times New Roman" w:eastAsia="Times New Roman" w:cs="Times New Roman"/>
      <w:sz w:val="24"/>
      <w:szCs w:val="24"/>
      <w:lang w:eastAsia="id-ID"/>
    </w:rPr>
  </w:style>
  <w:style w:type="character" w:customStyle="1" w:styleId="8">
    <w:name w:val="HTML Preformatted Char"/>
    <w:basedOn w:val="4"/>
    <w:link w:val="3"/>
    <w:semiHidden/>
    <w:qFormat/>
    <w:uiPriority w:val="99"/>
    <w:rPr>
      <w:rFonts w:ascii="Consolas" w:hAnsi="Consolas" w:eastAsia="Times New Roman" w:cs="Times New Roman"/>
      <w:sz w:val="20"/>
      <w:szCs w:val="20"/>
      <w:lang w:eastAsia="id-ID"/>
    </w:rPr>
  </w:style>
  <w:style w:type="paragraph" w:styleId="9">
    <w:name w:val="No Spacing"/>
    <w:qFormat/>
    <w:uiPriority w:val="1"/>
    <w:pPr>
      <w:widowControl w:val="0"/>
      <w:autoSpaceDE w:val="0"/>
      <w:autoSpaceDN w:val="0"/>
      <w:spacing w:beforeAutospacing="1" w:after="0" w:afterAutospacing="1" w:line="240" w:lineRule="auto"/>
    </w:pPr>
    <w:rPr>
      <w:rFonts w:ascii="Times New Roman" w:hAnsi="Times New Roman" w:eastAsia="Times New Roman" w:cs="Times New Roman"/>
      <w:sz w:val="24"/>
      <w:szCs w:val="24"/>
      <w:lang w:val="id-ID" w:eastAsia="id-ID"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pire\Downloads\EXCL%202%20revisi%20bab%20IV%2014%20feb%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spc="0" baseline="0">
                <a:solidFill>
                  <a:schemeClr val="tx1"/>
                </a:solidFill>
                <a:latin typeface="Times New Roman" panose="02020603050405020304" charset="0"/>
                <a:ea typeface="Times New Roman" panose="02020603050405020304" charset="0"/>
                <a:cs typeface="Times New Roman" panose="02020603050405020304" charset="0"/>
              </a:defRPr>
            </a:pPr>
            <a:r>
              <a:rPr lang="en-US" sz="1000" b="1" i="0" u="none" strike="noStrike" baseline="0">
                <a:latin typeface="Times New Roman" panose="02020603050405020304" charset="0"/>
                <a:ea typeface="Times New Roman" panose="02020603050405020304" charset="0"/>
                <a:cs typeface="Times New Roman" panose="02020603050405020304" charset="0"/>
              </a:rPr>
              <a:t>Development of Investment Value </a:t>
            </a:r>
            <a:r>
              <a:rPr lang="en-US" sz="1000" b="1">
                <a:solidFill>
                  <a:schemeClr val="tx1"/>
                </a:solidFill>
                <a:latin typeface="Times New Roman" panose="02020603050405020304" charset="0"/>
                <a:ea typeface="Times New Roman" panose="02020603050405020304" charset="0"/>
                <a:cs typeface="Times New Roman" panose="02020603050405020304" charset="0"/>
              </a:rPr>
              <a:t>(Milyar US$) in Indonesia</a:t>
            </a:r>
            <a:r>
              <a:rPr lang="en-US" sz="1000" b="1" baseline="0">
                <a:solidFill>
                  <a:schemeClr val="tx1"/>
                </a:solidFill>
                <a:latin typeface="Times New Roman" panose="02020603050405020304" charset="0"/>
                <a:ea typeface="Times New Roman" panose="02020603050405020304" charset="0"/>
                <a:cs typeface="Times New Roman" panose="02020603050405020304" charset="0"/>
              </a:rPr>
              <a:t> </a:t>
            </a:r>
            <a:r>
              <a:rPr lang="en-US" sz="1000" b="1">
                <a:solidFill>
                  <a:schemeClr val="tx1"/>
                </a:solidFill>
                <a:latin typeface="Times New Roman" panose="02020603050405020304" charset="0"/>
                <a:ea typeface="Times New Roman" panose="02020603050405020304" charset="0"/>
                <a:cs typeface="Times New Roman" panose="02020603050405020304" charset="0"/>
              </a:rPr>
              <a:t>(2012-2019)</a:t>
            </a:r>
            <a:endParaRPr lang="en-US" sz="1000" b="1">
              <a:solidFill>
                <a:schemeClr val="tx1"/>
              </a:solidFill>
              <a:latin typeface="Times New Roman" panose="02020603050405020304" charset="0"/>
              <a:ea typeface="Times New Roman" panose="02020603050405020304" charset="0"/>
              <a:cs typeface="Times New Roman" panose="02020603050405020304" charset="0"/>
            </a:endParaRPr>
          </a:p>
        </c:rich>
      </c:tx>
      <c:layout>
        <c:manualLayout>
          <c:xMode val="edge"/>
          <c:yMode val="edge"/>
          <c:x val="0.171868423912507"/>
          <c:y val="0.0221975582685905"/>
        </c:manualLayout>
      </c:layout>
      <c:overlay val="0"/>
      <c:spPr>
        <a:noFill/>
        <a:ln>
          <a:noFill/>
        </a:ln>
        <a:effectLst/>
      </c:spPr>
    </c:title>
    <c:autoTitleDeleted val="0"/>
    <c:plotArea>
      <c:layout>
        <c:manualLayout>
          <c:layoutTarget val="inner"/>
          <c:xMode val="edge"/>
          <c:yMode val="edge"/>
          <c:x val="0.142274738414525"/>
          <c:y val="0.164298401420959"/>
          <c:w val="0.724466561315726"/>
          <c:h val="0.406334526789835"/>
        </c:manualLayout>
      </c:layout>
      <c:barChart>
        <c:barDir val="col"/>
        <c:grouping val="stacked"/>
        <c:varyColors val="0"/>
        <c:ser>
          <c:idx val="1"/>
          <c:order val="1"/>
          <c:tx>
            <c:strRef>
              <c:f>'[EXCL 2 revisi bab IV 14 feb 2019.xlsx]Sheet5'!$H$2:$H$3</c:f>
              <c:strCache>
                <c:ptCount val="1"/>
                <c:pt idx="0">
                  <c:v>Panas Bumi %</c:v>
                </c:pt>
              </c:strCache>
            </c:strRef>
          </c:tx>
          <c:spPr>
            <a:solidFill>
              <a:schemeClr val="accent2"/>
            </a:solidFill>
            <a:ln>
              <a:noFill/>
            </a:ln>
            <a:effectLst/>
          </c:spPr>
          <c:invertIfNegative val="0"/>
          <c:dLbls>
            <c:delete val="1"/>
          </c:dLbls>
          <c:cat>
            <c:strRef>
              <c:f>'[EXCL 2 revisi bab IV 14 feb 2019.xlsx]Sheet5'!$F$4:$F$11</c:f>
              <c:strCache>
                <c:ptCount val="8"/>
                <c:pt idx="0">
                  <c:v>2012</c:v>
                </c:pt>
                <c:pt idx="1">
                  <c:v>2013</c:v>
                </c:pt>
                <c:pt idx="2">
                  <c:v>2014</c:v>
                </c:pt>
                <c:pt idx="3">
                  <c:v>2015</c:v>
                </c:pt>
                <c:pt idx="4">
                  <c:v>2016</c:v>
                </c:pt>
                <c:pt idx="5">
                  <c:v>2017</c:v>
                </c:pt>
                <c:pt idx="6">
                  <c:v>2018 (Okt)</c:v>
                </c:pt>
                <c:pt idx="7">
                  <c:v>2019 (Est)</c:v>
                </c:pt>
              </c:strCache>
            </c:strRef>
          </c:cat>
          <c:val>
            <c:numRef>
              <c:f>'[EXCL 2 revisi bab IV 14 feb 2019.xlsx]Sheet5'!$H$4:$H$11</c:f>
              <c:numCache>
                <c:formatCode>General</c:formatCode>
                <c:ptCount val="8"/>
                <c:pt idx="0">
                  <c:v>87.6</c:v>
                </c:pt>
                <c:pt idx="1">
                  <c:v>10.4</c:v>
                </c:pt>
                <c:pt idx="2">
                  <c:v>22.5</c:v>
                </c:pt>
                <c:pt idx="3">
                  <c:v>39.2</c:v>
                </c:pt>
                <c:pt idx="4">
                  <c:v>70.4</c:v>
                </c:pt>
                <c:pt idx="5">
                  <c:v>58.8</c:v>
                </c:pt>
                <c:pt idx="7">
                  <c:v>35.1</c:v>
                </c:pt>
              </c:numCache>
            </c:numRef>
          </c:val>
        </c:ser>
        <c:ser>
          <c:idx val="2"/>
          <c:order val="2"/>
          <c:tx>
            <c:strRef>
              <c:f>'[EXCL 2 revisi bab IV 14 feb 2019.xlsx]Sheet5'!$I$2:$I$3</c:f>
              <c:strCache>
                <c:ptCount val="1"/>
                <c:pt idx="0">
                  <c:v>Bioenergi</c:v>
                </c:pt>
              </c:strCache>
            </c:strRef>
          </c:tx>
          <c:spPr>
            <a:solidFill>
              <a:schemeClr val="accent3"/>
            </a:solidFill>
            <a:ln>
              <a:noFill/>
            </a:ln>
            <a:effectLst/>
          </c:spPr>
          <c:invertIfNegative val="0"/>
          <c:dLbls>
            <c:delete val="1"/>
          </c:dLbls>
          <c:cat>
            <c:strRef>
              <c:f>'[EXCL 2 revisi bab IV 14 feb 2019.xlsx]Sheet5'!$F$4:$F$11</c:f>
              <c:strCache>
                <c:ptCount val="8"/>
                <c:pt idx="0">
                  <c:v>2012</c:v>
                </c:pt>
                <c:pt idx="1">
                  <c:v>2013</c:v>
                </c:pt>
                <c:pt idx="2">
                  <c:v>2014</c:v>
                </c:pt>
                <c:pt idx="3">
                  <c:v>2015</c:v>
                </c:pt>
                <c:pt idx="4">
                  <c:v>2016</c:v>
                </c:pt>
                <c:pt idx="5">
                  <c:v>2017</c:v>
                </c:pt>
                <c:pt idx="6">
                  <c:v>2018 (Okt)</c:v>
                </c:pt>
                <c:pt idx="7">
                  <c:v>2019 (Est)</c:v>
                </c:pt>
              </c:strCache>
            </c:strRef>
          </c:cat>
          <c:val>
            <c:numRef>
              <c:f>'[EXCL 2 revisi bab IV 14 feb 2019.xlsx]Sheet5'!$I$4:$I$11</c:f>
              <c:numCache>
                <c:formatCode>General</c:formatCode>
                <c:ptCount val="8"/>
                <c:pt idx="3">
                  <c:v>19.6</c:v>
                </c:pt>
                <c:pt idx="4">
                  <c:v>26</c:v>
                </c:pt>
                <c:pt idx="5">
                  <c:v>38.2</c:v>
                </c:pt>
                <c:pt idx="7">
                  <c:v>10.8</c:v>
                </c:pt>
              </c:numCache>
            </c:numRef>
          </c:val>
        </c:ser>
        <c:ser>
          <c:idx val="3"/>
          <c:order val="3"/>
          <c:tx>
            <c:strRef>
              <c:f>'[EXCL 2 revisi bab IV 14 feb 2019.xlsx]Sheet5'!$J$2:$J$3</c:f>
              <c:strCache>
                <c:ptCount val="1"/>
                <c:pt idx="0">
                  <c:v>EBT Lain</c:v>
                </c:pt>
              </c:strCache>
            </c:strRef>
          </c:tx>
          <c:spPr>
            <a:solidFill>
              <a:schemeClr val="accent4"/>
            </a:solidFill>
            <a:ln>
              <a:noFill/>
            </a:ln>
            <a:effectLst/>
          </c:spPr>
          <c:invertIfNegative val="0"/>
          <c:dLbls>
            <c:delete val="1"/>
          </c:dLbls>
          <c:cat>
            <c:strRef>
              <c:f>'[EXCL 2 revisi bab IV 14 feb 2019.xlsx]Sheet5'!$F$4:$F$11</c:f>
              <c:strCache>
                <c:ptCount val="8"/>
                <c:pt idx="0">
                  <c:v>2012</c:v>
                </c:pt>
                <c:pt idx="1">
                  <c:v>2013</c:v>
                </c:pt>
                <c:pt idx="2">
                  <c:v>2014</c:v>
                </c:pt>
                <c:pt idx="3">
                  <c:v>2015</c:v>
                </c:pt>
                <c:pt idx="4">
                  <c:v>2016</c:v>
                </c:pt>
                <c:pt idx="5">
                  <c:v>2017</c:v>
                </c:pt>
                <c:pt idx="6">
                  <c:v>2018 (Okt)</c:v>
                </c:pt>
                <c:pt idx="7">
                  <c:v>2019 (Est)</c:v>
                </c:pt>
              </c:strCache>
            </c:strRef>
          </c:cat>
          <c:val>
            <c:numRef>
              <c:f>'[EXCL 2 revisi bab IV 14 feb 2019.xlsx]Sheet5'!$J$4:$J$11</c:f>
              <c:numCache>
                <c:formatCode>General</c:formatCode>
                <c:ptCount val="8"/>
                <c:pt idx="3">
                  <c:v>41.2</c:v>
                </c:pt>
                <c:pt idx="4">
                  <c:v>3.1</c:v>
                </c:pt>
                <c:pt idx="5">
                  <c:v>3.1</c:v>
                </c:pt>
                <c:pt idx="7">
                  <c:v>54</c:v>
                </c:pt>
              </c:numCache>
            </c:numRef>
          </c:val>
        </c:ser>
        <c:ser>
          <c:idx val="4"/>
          <c:order val="4"/>
          <c:tx>
            <c:strRef>
              <c:f>'[EXCL 2 revisi bab IV 14 feb 2019.xlsx]Sheet5'!$K$2:$K$3</c:f>
              <c:strCache>
                <c:ptCount val="1"/>
                <c:pt idx="0">
                  <c:v>Konservasi Energi </c:v>
                </c:pt>
              </c:strCache>
            </c:strRef>
          </c:tx>
          <c:spPr>
            <a:solidFill>
              <a:schemeClr val="accent5"/>
            </a:solidFill>
            <a:ln>
              <a:noFill/>
            </a:ln>
            <a:effectLst/>
          </c:spPr>
          <c:invertIfNegative val="0"/>
          <c:dLbls>
            <c:delete val="1"/>
          </c:dLbls>
          <c:cat>
            <c:strRef>
              <c:f>'[EXCL 2 revisi bab IV 14 feb 2019.xlsx]Sheet5'!$F$4:$F$11</c:f>
              <c:strCache>
                <c:ptCount val="8"/>
                <c:pt idx="0">
                  <c:v>2012</c:v>
                </c:pt>
                <c:pt idx="1">
                  <c:v>2013</c:v>
                </c:pt>
                <c:pt idx="2">
                  <c:v>2014</c:v>
                </c:pt>
                <c:pt idx="3">
                  <c:v>2015</c:v>
                </c:pt>
                <c:pt idx="4">
                  <c:v>2016</c:v>
                </c:pt>
                <c:pt idx="5">
                  <c:v>2017</c:v>
                </c:pt>
                <c:pt idx="6">
                  <c:v>2018 (Okt)</c:v>
                </c:pt>
                <c:pt idx="7">
                  <c:v>2019 (Est)</c:v>
                </c:pt>
              </c:strCache>
            </c:strRef>
          </c:cat>
          <c:val>
            <c:numRef>
              <c:f>'[EXCL 2 revisi bab IV 14 feb 2019.xlsx]Sheet5'!$K$4:$K$11</c:f>
              <c:numCache>
                <c:formatCode>General</c:formatCode>
                <c:ptCount val="8"/>
                <c:pt idx="4">
                  <c:v>0.2</c:v>
                </c:pt>
                <c:pt idx="5">
                  <c:v>0.2</c:v>
                </c:pt>
                <c:pt idx="7">
                  <c:v>0.2</c:v>
                </c:pt>
              </c:numCache>
            </c:numRef>
          </c:val>
        </c:ser>
        <c:ser>
          <c:idx val="5"/>
          <c:order val="5"/>
          <c:tx>
            <c:strRef>
              <c:f>'[EXCL 2 revisi bab IV 14 feb 2019.xlsx]Sheet5'!$L$2:$L$3</c:f>
              <c:strCache>
                <c:ptCount val="1"/>
                <c:pt idx="0">
                  <c:v>Tidak Terkatagorisasi</c:v>
                </c:pt>
              </c:strCache>
            </c:strRef>
          </c:tx>
          <c:spPr>
            <a:solidFill>
              <a:schemeClr val="accent6"/>
            </a:solidFill>
            <a:ln>
              <a:noFill/>
            </a:ln>
            <a:effectLst/>
          </c:spPr>
          <c:invertIfNegative val="0"/>
          <c:dLbls>
            <c:delete val="1"/>
          </c:dLbls>
          <c:cat>
            <c:strRef>
              <c:f>'[EXCL 2 revisi bab IV 14 feb 2019.xlsx]Sheet5'!$F$4:$F$11</c:f>
              <c:strCache>
                <c:ptCount val="8"/>
                <c:pt idx="0">
                  <c:v>2012</c:v>
                </c:pt>
                <c:pt idx="1">
                  <c:v>2013</c:v>
                </c:pt>
                <c:pt idx="2">
                  <c:v>2014</c:v>
                </c:pt>
                <c:pt idx="3">
                  <c:v>2015</c:v>
                </c:pt>
                <c:pt idx="4">
                  <c:v>2016</c:v>
                </c:pt>
                <c:pt idx="5">
                  <c:v>2017</c:v>
                </c:pt>
                <c:pt idx="6">
                  <c:v>2018 (Okt)</c:v>
                </c:pt>
                <c:pt idx="7">
                  <c:v>2019 (Est)</c:v>
                </c:pt>
              </c:strCache>
            </c:strRef>
          </c:cat>
          <c:val>
            <c:numRef>
              <c:f>'[EXCL 2 revisi bab IV 14 feb 2019.xlsx]Sheet5'!$L$4:$L$11</c:f>
              <c:numCache>
                <c:formatCode>General</c:formatCode>
                <c:ptCount val="8"/>
                <c:pt idx="0">
                  <c:v>12.4</c:v>
                </c:pt>
                <c:pt idx="1">
                  <c:v>89.6</c:v>
                </c:pt>
                <c:pt idx="2">
                  <c:v>77.5</c:v>
                </c:pt>
              </c:numCache>
            </c:numRef>
          </c:val>
        </c:ser>
        <c:dLbls>
          <c:showLegendKey val="0"/>
          <c:showVal val="0"/>
          <c:showCatName val="0"/>
          <c:showSerName val="0"/>
          <c:showPercent val="0"/>
          <c:showBubbleSize val="0"/>
        </c:dLbls>
        <c:gapWidth val="150"/>
        <c:overlap val="100"/>
        <c:axId val="399151424"/>
        <c:axId val="301249328"/>
      </c:barChart>
      <c:scatterChart>
        <c:scatterStyle val="lineMarker"/>
        <c:varyColors val="0"/>
        <c:ser>
          <c:idx val="0"/>
          <c:order val="0"/>
          <c:tx>
            <c:strRef>
              <c:f>'[EXCL 2 revisi bab IV 14 feb 2019.xlsx]Sheet5'!$G$2:$G$3</c:f>
              <c:strCache>
                <c:ptCount val="1"/>
                <c:pt idx="0">
                  <c:v>Total (miliar US$)</c:v>
                </c:pt>
              </c:strCache>
            </c:strRef>
          </c:tx>
          <c:spPr>
            <a:ln w="25400" cap="rnd">
              <a:solidFill>
                <a:schemeClr val="tx1"/>
              </a:solidFill>
              <a:round/>
            </a:ln>
            <a:effectLst/>
          </c:spPr>
          <c:marker>
            <c:symbol val="circle"/>
            <c:size val="5"/>
            <c:spPr>
              <a:solidFill>
                <a:srgbClr val="FF0000"/>
              </a:solidFill>
              <a:ln w="9525">
                <a:solidFill>
                  <a:schemeClr val="accent1"/>
                </a:solidFill>
              </a:ln>
              <a:effectLst/>
            </c:spPr>
          </c:marker>
          <c:dLbls>
            <c:delete val="1"/>
          </c:dLbls>
          <c:xVal>
            <c:strRef>
              <c:f>'[EXCL 2 revisi bab IV 14 feb 2019.xlsx]Sheet5'!$F$4:$F$11</c:f>
              <c:strCache>
                <c:ptCount val="8"/>
                <c:pt idx="0">
                  <c:v>2012</c:v>
                </c:pt>
                <c:pt idx="1">
                  <c:v>2013</c:v>
                </c:pt>
                <c:pt idx="2">
                  <c:v>2014</c:v>
                </c:pt>
                <c:pt idx="3">
                  <c:v>2015</c:v>
                </c:pt>
                <c:pt idx="4">
                  <c:v>2016</c:v>
                </c:pt>
                <c:pt idx="5">
                  <c:v>2017</c:v>
                </c:pt>
                <c:pt idx="6">
                  <c:v>2018 (Okt)</c:v>
                </c:pt>
                <c:pt idx="7">
                  <c:v>2019 (Est)</c:v>
                </c:pt>
              </c:strCache>
            </c:strRef>
          </c:xVal>
          <c:yVal>
            <c:numRef>
              <c:f>'[EXCL 2 revisi bab IV 14 feb 2019.xlsx]Sheet5'!$G$4:$G$11</c:f>
              <c:numCache>
                <c:formatCode>General</c:formatCode>
                <c:ptCount val="8"/>
                <c:pt idx="0">
                  <c:v>0.31</c:v>
                </c:pt>
                <c:pt idx="1">
                  <c:v>3.34</c:v>
                </c:pt>
                <c:pt idx="2">
                  <c:v>2.64</c:v>
                </c:pt>
                <c:pt idx="3">
                  <c:v>2.24</c:v>
                </c:pt>
                <c:pt idx="4">
                  <c:v>1.61</c:v>
                </c:pt>
                <c:pt idx="5">
                  <c:v>1.96</c:v>
                </c:pt>
                <c:pt idx="6">
                  <c:v>1.16</c:v>
                </c:pt>
                <c:pt idx="7">
                  <c:v>4</c:v>
                </c:pt>
              </c:numCache>
            </c:numRef>
          </c:yVal>
          <c:smooth val="0"/>
        </c:ser>
        <c:dLbls>
          <c:showLegendKey val="0"/>
          <c:showVal val="0"/>
          <c:showCatName val="0"/>
          <c:showSerName val="0"/>
          <c:showPercent val="0"/>
          <c:showBubbleSize val="0"/>
        </c:dLbls>
        <c:axId val="400504400"/>
        <c:axId val="430246976"/>
      </c:scatterChart>
      <c:catAx>
        <c:axId val="39915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301249328"/>
        <c:crosses val="autoZero"/>
        <c:auto val="1"/>
        <c:lblAlgn val="ctr"/>
        <c:lblOffset val="100"/>
        <c:noMultiLvlLbl val="0"/>
      </c:catAx>
      <c:valAx>
        <c:axId val="30124932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b="1" i="0" u="none" strike="noStrike" baseline="0"/>
                  <a:t>share of investment value</a:t>
                </a:r>
                <a:r>
                  <a:rPr lang="en-US" sz="900" b="1" baseline="0">
                    <a:solidFill>
                      <a:schemeClr val="tx1"/>
                    </a:solidFill>
                  </a:rPr>
                  <a:t>(%) </a:t>
                </a:r>
                <a:endParaRPr lang="en-US" sz="900" b="1">
                  <a:solidFill>
                    <a:schemeClr val="tx1"/>
                  </a:solidFill>
                </a:endParaRPr>
              </a:p>
            </c:rich>
          </c:tx>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399151424"/>
        <c:crosses val="autoZero"/>
        <c:crossBetween val="between"/>
        <c:majorUnit val="10"/>
      </c:valAx>
      <c:valAx>
        <c:axId val="40050440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30246976"/>
        <c:crosses val="autoZero"/>
        <c:crossBetween val="midCat"/>
      </c:valAx>
      <c:valAx>
        <c:axId val="430246976"/>
        <c:scaling>
          <c:orientation val="minMax"/>
          <c:max val="5"/>
        </c:scaling>
        <c:delete val="0"/>
        <c:axPos val="r"/>
        <c:title>
          <c:tx>
            <c:rich>
              <a:bodyPr rot="-54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b="1">
                    <a:solidFill>
                      <a:schemeClr val="tx1"/>
                    </a:solidFill>
                  </a:rPr>
                  <a:t>Total Investment  (Milyar US$)</a:t>
                </a:r>
                <a:endParaRPr lang="en-US" sz="900" b="1">
                  <a:solidFill>
                    <a:schemeClr val="tx1"/>
                  </a:solidFill>
                </a:endParaRPr>
              </a:p>
            </c:rich>
          </c:tx>
          <c:layout/>
          <c:overlay val="0"/>
          <c:spPr>
            <a:noFill/>
            <a:ln>
              <a:noFill/>
            </a:ln>
            <a:effectLst/>
          </c:spPr>
        </c:title>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400504400"/>
        <c:crosses val="max"/>
        <c:crossBetween val="midCat"/>
        <c:majorUnit val="1"/>
      </c:valAx>
      <c:spPr>
        <a:noFill/>
        <a:ln>
          <a:solidFill>
            <a:schemeClr val="tx1"/>
          </a:solidFill>
        </a:ln>
        <a:effectLst/>
      </c:spPr>
    </c:plotArea>
    <c:legend>
      <c:legendPos val="b"/>
      <c:layout>
        <c:manualLayout>
          <c:xMode val="edge"/>
          <c:yMode val="edge"/>
          <c:x val="0.0364323120208153"/>
          <c:y val="0.75835552929034"/>
          <c:w val="0.828883450687"/>
          <c:h val="0.15874882868771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3457</Words>
  <Characters>19708</Characters>
  <Lines>164</Lines>
  <Paragraphs>46</Paragraphs>
  <TotalTime>33</TotalTime>
  <ScaleCrop>false</ScaleCrop>
  <LinksUpToDate>false</LinksUpToDate>
  <CharactersWithSpaces>23119</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2019-05-09T16:08:00Z</dcterms:created>
  <dc:creator>Aspire</dc:creator>
  <cp:lastModifiedBy>google1568934746</cp:lastModifiedBy>
  <cp:lastPrinted>2019-04-27T02:59:00Z</cp:lastPrinted>
  <dcterms:modified xsi:type="dcterms:W3CDTF">2019-10-05T04:25:12Z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